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Fonts w:ascii="Calibri" w:cs="Calibri" w:eastAsia="Calibri" w:hAnsi="Calibri"/>
          <w:b w:val="1"/>
          <w:rtl w:val="0"/>
        </w:rPr>
        <w:t xml:space="preserve">The Impacts of the COVID-19 Pandemic on Educational Equity Around the World: Mapping the Immediate and Longer-term Implications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000000"/>
        </w:rPr>
      </w:pPr>
      <w:r w:rsidDel="00000000" w:rsidR="00000000" w:rsidRPr="00000000">
        <w:rPr>
          <w:rFonts w:ascii="Calibri" w:cs="Calibri" w:eastAsia="Calibri" w:hAnsi="Calibri"/>
          <w:b w:val="1"/>
          <w:rtl w:val="0"/>
        </w:rPr>
        <w:t xml:space="preserve">Abstract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The COVID-19 pandemic has created the largest and longest global disruption of school-based education in modern history. Almost every country in the world has experienced school closures, affecting well over a billion children. While closing schools to mitigate transmission risks and help ensure public health and safety has widely been seen as a necessary policy response, research to date indicates that school closures have disproportionately affected already vulnerable populations and have compounded and exacerbated gaps in educational equity based on gender, race/ethnicity, socio-economic status, disabilities, and geographic location. In this paper, I first share findings from an international and comparative review of data and analysis generated since February 2020, to map some of the most troubling and immediate impacts of the COVID-19 pandemic on education access and equity. In the second part of the presentation, some of the longer-term implications of the pandemic’s negative effects on education access and equity will be discussed, including possible policy responses and innovations. </w:t>
      </w:r>
    </w:p>
    <w:p w:rsidR="00000000" w:rsidDel="00000000" w:rsidP="00000000" w:rsidRDefault="00000000" w:rsidRPr="00000000" w14:paraId="0000000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Introduction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Fonts w:ascii="Calibri" w:cs="Calibri" w:eastAsia="Calibri" w:hAnsi="Calibri"/>
          <w:rtl w:val="0"/>
        </w:rPr>
        <w:t xml:space="preserve">My starting point for this paper is recognizing that the COVID-19 pandemic has led to the largest and most sustained disruption of education systems around the world in modern history. Yet, while all learners have been disadvantaged by this disruption, it is essential that we acknowledge that some learners have been more disadvantaged than others. Thus, with the purpose of mapping the pandemic’s education equity effects and implications globally, I have reviewed and synthesized the relevant scholarly and grey literatures, dating back to February 2020, and share in this paper the key highlights from this work. I also draw on the findings from a recent UNESCO-sponsored study I worked on, that focused on teacher leadership and innovation in developing crisis education responses in the context of the COVID-19 pandemic in Africa and Latin America (Mundy, Manion, Proulx, &amp; Feitosa de Britto, 2020). In terms of the structure of the paper, I begin by contextualizing the nature and scale of education disruption as a way to set the stage for a discussion of key education equity issues identified in the literature. I then discuss the path forward, looking at equity considerations in crisis education responses.</w:t>
      </w: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rPr>
      </w:pPr>
      <w:r w:rsidDel="00000000" w:rsidR="00000000" w:rsidRPr="00000000">
        <w:rPr>
          <w:rFonts w:ascii="Calibri" w:cs="Calibri" w:eastAsia="Calibri" w:hAnsi="Calibri"/>
          <w:b w:val="1"/>
          <w:rtl w:val="0"/>
        </w:rPr>
        <w:t xml:space="preserve">Contextualizing the Problem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firstLine="720"/>
        <w:rPr>
          <w:rFonts w:ascii="Calibri" w:cs="Calibri" w:eastAsia="Calibri" w:hAnsi="Calibri"/>
        </w:rPr>
      </w:pPr>
      <w:r w:rsidDel="00000000" w:rsidR="00000000" w:rsidRPr="00000000">
        <w:rPr>
          <w:rFonts w:ascii="Calibri" w:cs="Calibri" w:eastAsia="Calibri" w:hAnsi="Calibri"/>
          <w:rtl w:val="0"/>
        </w:rPr>
        <w:t xml:space="preserve">As COVID-19 spread around the world, countries responded in different ways. Some immediately implemented full and sustained “lock-downs”, while others did not</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Few, if any countries in the world were adequately prepared to effectively respond to the pandemic (García &amp; Weiss, E, 2020). Nonetheless, by April 2020, over 90% of education systems were closed, including K-12 and higher education institutions, and affecting approximately 1.6 billion learners around the world</w:t>
      </w:r>
      <w:r w:rsidDel="00000000" w:rsidR="00000000" w:rsidRPr="00000000">
        <w:rPr>
          <w:rFonts w:ascii="Calibri" w:cs="Calibri" w:eastAsia="Calibri" w:hAnsi="Calibri"/>
          <w:vertAlign w:val="superscript"/>
        </w:rPr>
        <w:footnoteReference w:customMarkFollows="0" w:id="1"/>
      </w:r>
      <w:r w:rsidDel="00000000" w:rsidR="00000000" w:rsidRPr="00000000">
        <w:rPr>
          <w:rFonts w:ascii="Calibri" w:cs="Calibri" w:eastAsia="Calibri" w:hAnsi="Calibri"/>
          <w:rtl w:val="0"/>
        </w:rPr>
        <w:t xml:space="preserve">. The already observed and predicted effects are wide-ranging and stand to impact, at a minimum, the development and well-being of an entire generation. Even if we look at the literature on women who are pregnant during this pandemic, they are several times more likely to experience anxiety and depression and the research also indicates that there is a relationship between women experiencing anxiety and depression while pregnant and their children developing anxiety, depression and other mental health issues later on. This is merely one example; however, it underscores the importance of acknowledging and anticipating the effects of the pandemic in the long term, for example, if school systems are having to deal with greater numbers of children with mental health and behavioural issues and challenges. </w:t>
      </w:r>
    </w:p>
    <w:p w:rsidR="00000000" w:rsidDel="00000000" w:rsidP="00000000" w:rsidRDefault="00000000" w:rsidRPr="00000000" w14:paraId="0000000D">
      <w:pPr>
        <w:ind w:firstLine="720"/>
        <w:rPr>
          <w:rFonts w:ascii="Calibri" w:cs="Calibri" w:eastAsia="Calibri" w:hAnsi="Calibri"/>
        </w:rPr>
      </w:pPr>
      <w:r w:rsidDel="00000000" w:rsidR="00000000" w:rsidRPr="00000000">
        <w:rPr>
          <w:rFonts w:ascii="Calibri" w:cs="Calibri" w:eastAsia="Calibri" w:hAnsi="Calibri"/>
          <w:rtl w:val="0"/>
        </w:rPr>
        <w:t xml:space="preserve">The loss of learning time and risks to young people’s psycho-social development and well-being are the two most frequently discussed topics in the literature (see for example, Baloran, 2020; Chen, Chen, Pakpour, Griffiths, &amp; Lin, 2020; García &amp; Weiss, 2020; </w:t>
      </w:r>
      <w:r w:rsidDel="00000000" w:rsidR="00000000" w:rsidRPr="00000000">
        <w:rPr>
          <w:rFonts w:ascii="Calibri" w:cs="Calibri" w:eastAsia="Calibri" w:hAnsi="Calibri"/>
          <w:color w:val="000000"/>
          <w:rtl w:val="0"/>
        </w:rPr>
        <w:t xml:space="preserve">Kuhfeld, Soland, Tarasawa, Johnson, Ruzek &amp; Liu, 2020).</w:t>
      </w:r>
      <w:r w:rsidDel="00000000" w:rsidR="00000000" w:rsidRPr="00000000">
        <w:rPr>
          <w:rFonts w:ascii="Calibri" w:cs="Calibri" w:eastAsia="Calibri" w:hAnsi="Calibri"/>
          <w:rtl w:val="0"/>
        </w:rPr>
        <w:t xml:space="preserve"> Additionally, safety risks have escalated, particularly with school closures when children are spending more time at home, and if their homes and their families don't offer a safe space for them, children will be at a higher risk of experiencing (and/or witnessing) violence and neglect etc. (Baron, Goldstein, Wallace, 2020). There are also, of course, longer term implications for economic and social development. </w:t>
      </w:r>
    </w:p>
    <w:p w:rsidR="00000000" w:rsidDel="00000000" w:rsidP="00000000" w:rsidRDefault="00000000" w:rsidRPr="00000000" w14:paraId="0000000E">
      <w:pPr>
        <w:ind w:firstLine="720"/>
        <w:rPr>
          <w:rFonts w:ascii="Calibri" w:cs="Calibri" w:eastAsia="Calibri" w:hAnsi="Calibri"/>
        </w:rPr>
      </w:pPr>
      <w:r w:rsidDel="00000000" w:rsidR="00000000" w:rsidRPr="00000000">
        <w:rPr>
          <w:rFonts w:ascii="Calibri" w:cs="Calibri" w:eastAsia="Calibri" w:hAnsi="Calibri"/>
          <w:rtl w:val="0"/>
        </w:rPr>
        <w:t xml:space="preserve">Across the globe, we have seen in many countries a reenergizing of distance learning modalities, including TV and radio (Mundy et al., 2020). We have also seen widespread attempts to pivot to digital learning; however, there is a split between low- and middle-income countries and high-income countries in this regard (Desire2Learn, 2020). It is important to recognize the differences between countries, but also differences within countries in terms of who and where people and systems have been able to pivot successfully to distance and/or digital learning. For, example, we see in low- and middle-income countries differences between private schools and public schools where the former have been able to more successfully pivot to digital learning than the latter.</w:t>
      </w:r>
    </w:p>
    <w:p w:rsidR="00000000" w:rsidDel="00000000" w:rsidP="00000000" w:rsidRDefault="00000000" w:rsidRPr="00000000" w14:paraId="0000000F">
      <w:pPr>
        <w:ind w:firstLine="720"/>
        <w:rPr>
          <w:rFonts w:ascii="Calibri" w:cs="Calibri" w:eastAsia="Calibri" w:hAnsi="Calibri"/>
        </w:rPr>
      </w:pPr>
      <w:r w:rsidDel="00000000" w:rsidR="00000000" w:rsidRPr="00000000">
        <w:rPr>
          <w:rFonts w:ascii="Calibri" w:cs="Calibri" w:eastAsia="Calibri" w:hAnsi="Calibri"/>
          <w:rtl w:val="0"/>
        </w:rPr>
        <w:t xml:space="preserve">Despite facing considerable challenges, in my research on teacher leadership in the context of crisis education responses, we heard of many innovative ways that teachers have been able to connect with their students, to help support continuity of learning, but also just to help by providing psychosocial support, to just check in to let learners and their families know that they care, and also to keep reminding them that they need to keep up with their studies (Mundy et al., 2020). In low- and middle-income countries where digital learning skills, capacities, and infrastructure are weak, we saw teachers innovate and reach out through SMS and WhatsApp (among others). But even then, these efforts were not reaching all students (Mundy et al., 2020; Tienken, 2020). </w:t>
      </w:r>
    </w:p>
    <w:p w:rsidR="00000000" w:rsidDel="00000000" w:rsidP="00000000" w:rsidRDefault="00000000" w:rsidRPr="00000000" w14:paraId="00000010">
      <w:pPr>
        <w:ind w:firstLine="720"/>
        <w:rPr>
          <w:rFonts w:ascii="Calibri" w:cs="Calibri" w:eastAsia="Calibri" w:hAnsi="Calibri"/>
        </w:rPr>
      </w:pPr>
      <w:r w:rsidDel="00000000" w:rsidR="00000000" w:rsidRPr="00000000">
        <w:rPr>
          <w:rFonts w:ascii="Calibri" w:cs="Calibri" w:eastAsia="Calibri" w:hAnsi="Calibri"/>
          <w:rtl w:val="0"/>
        </w:rPr>
        <w:t xml:space="preserve">Initial crisis education responses focused on responding to different needs, including academic and non-academic needs. And, although a fairly uneven phenomenon, I would like to highlight that we do have evidence of an increase of social dialogue in the context of the pandemic, for example between governments, which tend in most countries in the world to be the major funders and governors of national education systems, and teachers and their associations (Mundy et al., 2020, see also ILO, 2020; Ratnam &amp; Tomoda, 2005). The focus of social dialogue in this context primarily concerned how to safely reopen education systems, ensure continuity of learning, and support the psycho-social and emotional wellbeing of learners and other education stakeholders (see ILO, n.d., 2011, 2020). </w:t>
      </w:r>
    </w:p>
    <w:p w:rsidR="00000000" w:rsidDel="00000000" w:rsidP="00000000" w:rsidRDefault="00000000" w:rsidRPr="00000000" w14:paraId="00000011">
      <w:pPr>
        <w:ind w:firstLine="720"/>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Box 1:</w:t>
      </w:r>
      <w:r w:rsidDel="00000000" w:rsidR="00000000" w:rsidRPr="00000000">
        <w:rPr>
          <w:rtl w:val="0"/>
        </w:rPr>
        <w:t xml:space="preserve"> </w:t>
      </w:r>
      <w:r w:rsidDel="00000000" w:rsidR="00000000" w:rsidRPr="00000000">
        <w:rPr>
          <w:b w:val="1"/>
          <w:rtl w:val="0"/>
        </w:rPr>
        <w:t xml:space="preserve">Access to Distance Learning Modalities</w:t>
      </w:r>
      <w:r w:rsidDel="00000000" w:rsidR="00000000" w:rsidRPr="00000000">
        <w:rPr>
          <w:rtl w:val="0"/>
        </w:rPr>
      </w:r>
    </w:p>
    <w:p w:rsidR="00000000" w:rsidDel="00000000" w:rsidP="00000000" w:rsidRDefault="00000000" w:rsidRPr="00000000" w14:paraId="00000013">
      <w:pPr>
        <w:rPr/>
      </w:pPr>
      <w:r w:rsidDel="00000000" w:rsidR="00000000" w:rsidRPr="00000000">
        <w:rPr/>
        <mc:AlternateContent>
          <mc:Choice Requires="wpg">
            <w:drawing>
              <wp:inline distB="0" distT="0" distL="0" distR="0">
                <wp:extent cx="5522819" cy="2530849"/>
                <wp:effectExtent b="0" l="0" r="0" t="0"/>
                <wp:docPr id="2" name=""/>
                <a:graphic>
                  <a:graphicData uri="http://schemas.microsoft.com/office/word/2010/wordprocessingShape">
                    <wps:wsp>
                      <wps:cNvSpPr/>
                      <wps:cNvPr id="2" name="Shape 2"/>
                      <wps:spPr>
                        <a:xfrm>
                          <a:off x="2589353" y="2519338"/>
                          <a:ext cx="5513294" cy="2521324"/>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While more than 90 per cent of the countries adopted digital and/or broadcast remote learning policies, only 60 per cent did so for pre-primary education.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Policy measures taken by the governments to ensure learning continuity through broadcast or digital media allowed for potentially reaching 69 per cent of schoolchildren (at maximum) in pre-primary to secondary education globally.</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31 per cent of schoolchildren worldwide (463 million) cannot be reached by the broadcast- and Internet-based remote learning policies either due to the lack of necessary technological assets at home, or because they were not targeted by the adopted policies.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Online platforms were the most used means by the governments to deliver education while schools remain closed, with 83 per cent of countries using this method. However, this allowed for potentially reaching only about a quarter of schoolchildren worldwide.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Television had the potential to reach the most students (62 per cent) globally.</w:t>
                            </w:r>
                          </w:p>
                          <w:p w:rsidR="00000000" w:rsidDel="00000000" w:rsidP="00000000" w:rsidRDefault="00000000" w:rsidRPr="00000000">
                            <w:pPr>
                              <w:spacing w:after="100" w:before="10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Only 16 per cent of schoolchildren could be reached by radio-based learning worldwide.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Globally, 3 out of 4 students who cannot be reached by the remote learning policies come from rural areas and/or belong to the poorest households.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333333"/>
                                <w:sz w:val="20"/>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5522819" cy="2530849"/>
                <wp:effectExtent b="0" l="0" r="0" t="0"/>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522819" cy="253084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4">
      <w:pPr>
        <w:rPr/>
      </w:pPr>
      <w:r w:rsidDel="00000000" w:rsidR="00000000" w:rsidRPr="00000000">
        <w:rPr>
          <w:i w:val="1"/>
          <w:color w:val="000000"/>
          <w:sz w:val="20"/>
          <w:szCs w:val="20"/>
          <w:rtl w:val="0"/>
        </w:rPr>
        <w:t xml:space="preserve">Source:</w:t>
      </w:r>
      <w:r w:rsidDel="00000000" w:rsidR="00000000" w:rsidRPr="00000000">
        <w:rPr>
          <w:color w:val="000000"/>
          <w:sz w:val="20"/>
          <w:szCs w:val="20"/>
          <w:rtl w:val="0"/>
        </w:rPr>
        <w:t xml:space="preserve"> UNICEF, 2020: </w:t>
      </w:r>
      <w:hyperlink r:id="rId9">
        <w:r w:rsidDel="00000000" w:rsidR="00000000" w:rsidRPr="00000000">
          <w:rPr>
            <w:color w:val="0000ff"/>
            <w:sz w:val="20"/>
            <w:szCs w:val="20"/>
            <w:u w:val="single"/>
            <w:rtl w:val="0"/>
          </w:rPr>
          <w:t xml:space="preserve">https://data.unicef.org/topic/education/covid-19/</w:t>
        </w:r>
      </w:hyperlink>
      <w:r w:rsidDel="00000000" w:rsidR="00000000" w:rsidRPr="00000000">
        <w:rPr>
          <w:rtl w:val="0"/>
        </w:rPr>
      </w:r>
    </w:p>
    <w:p w:rsidR="00000000" w:rsidDel="00000000" w:rsidP="00000000" w:rsidRDefault="00000000" w:rsidRPr="00000000" w14:paraId="00000015">
      <w:pPr>
        <w:ind w:firstLine="720"/>
        <w:rPr/>
      </w:pPr>
      <w:r w:rsidDel="00000000" w:rsidR="00000000" w:rsidRPr="00000000">
        <w:rPr>
          <w:rtl w:val="0"/>
        </w:rPr>
      </w:r>
    </w:p>
    <w:p w:rsidR="00000000" w:rsidDel="00000000" w:rsidP="00000000" w:rsidRDefault="00000000" w:rsidRPr="00000000" w14:paraId="00000016">
      <w:pPr>
        <w:ind w:firstLine="720"/>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Drivers of Educational Inequities in the Context of the COVID-19 Pandemic</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ind w:firstLine="720"/>
        <w:rPr>
          <w:rFonts w:ascii="Calibri" w:cs="Calibri" w:eastAsia="Calibri" w:hAnsi="Calibri"/>
        </w:rPr>
      </w:pPr>
      <w:r w:rsidDel="00000000" w:rsidR="00000000" w:rsidRPr="00000000">
        <w:rPr>
          <w:rFonts w:ascii="Calibri" w:cs="Calibri" w:eastAsia="Calibri" w:hAnsi="Calibri"/>
          <w:rtl w:val="0"/>
        </w:rPr>
        <w:t xml:space="preserve">Let us unpack some of the drivers of inequity in education (and beyond). And, before proceeding, I want to highlight that I conceptualize these as being intersecting drivers of inequality (Crenshaw, 1989). Using an intersectional lens means that we do not privilege or single out any one social position or social location when we try to assess and understand inequity. That is, we have to understand that there are different components and layers of our social locations and identities and that these intersect and overlap with each other and influence effects, depending on context. For example, when advocating for gender equality, we must ask “which girls?’ and ‘which boys’ need targeted support, because it is not that all girls everywhere and always are disadvantaged and that all boys everywhere and always are advantaged relative to girls – it’s not that simple. An urban-based, relatively affluent girl will have a greater advantage educationally, for example, than a boy who comes from a poor family and lives in a rural/remote area. I also want to emphasize that these drivers of inequality that I am discussing, they are not specific to and did not emerge in the context of the pandemic: they were “pre-existing conditions”, that the pandemic has shone a light on and amplified.   </w:t>
      </w:r>
    </w:p>
    <w:p w:rsidR="00000000" w:rsidDel="00000000" w:rsidP="00000000" w:rsidRDefault="00000000" w:rsidRPr="00000000" w14:paraId="0000001A">
      <w:pPr>
        <w:ind w:firstLine="720"/>
        <w:rPr>
          <w:rFonts w:ascii="Calibri" w:cs="Calibri" w:eastAsia="Calibri" w:hAnsi="Calibri"/>
        </w:rPr>
      </w:pPr>
      <w:r w:rsidDel="00000000" w:rsidR="00000000" w:rsidRPr="00000000">
        <w:rPr>
          <w:rFonts w:ascii="Calibri" w:cs="Calibri" w:eastAsia="Calibri" w:hAnsi="Calibri"/>
          <w:rtl w:val="0"/>
        </w:rPr>
        <w:t xml:space="preserve">One driver of inequity is geographic location. Depending upon where you are in the world, you will have different educational opportunities and experiences. For example, rural and remote populations tend to be disadvantaged relative to those in urban or peri-urban areas (Morgan, 2020). Being poor, for example, in a rural area is often described as more difficult because of the lack of access to public services, including education; whereas being poor in an urban area has been suggested as oftentimes a little easier because you have more access to more people, and more potential resources.  </w:t>
      </w:r>
    </w:p>
    <w:p w:rsidR="00000000" w:rsidDel="00000000" w:rsidP="00000000" w:rsidRDefault="00000000" w:rsidRPr="00000000" w14:paraId="0000001B">
      <w:pPr>
        <w:ind w:firstLine="720"/>
        <w:rPr>
          <w:rFonts w:ascii="Calibri" w:cs="Calibri" w:eastAsia="Calibri" w:hAnsi="Calibri"/>
        </w:rPr>
      </w:pPr>
      <w:r w:rsidDel="00000000" w:rsidR="00000000" w:rsidRPr="00000000">
        <w:rPr>
          <w:rFonts w:ascii="Calibri" w:cs="Calibri" w:eastAsia="Calibri" w:hAnsi="Calibri"/>
          <w:rtl w:val="0"/>
        </w:rPr>
        <w:t xml:space="preserve">In addition to where we are in the world, socio-economic status (SES) is a widely recognized and studied driver of inequality. Greater affluence generally means the availability of more resources to invest in children’s education. Greater family affluence is also generally associated with higher educational attainment, and more affluent families tend to have greater access to information to make decisions about their children’s education. Socioeconomic status matters in terms of access to digital technologies, having the gadgets, the phones, the tablets, the laptops, the computers, radio and TV (Desire2Learn, 2020; Morgan, 2020). Considering SES with geographic location, a family living in a remote, rural area may have a TV and may have a radio, but because of the location of broadcasting towers and consequent signal strength, learners in that family may still not be able to access the distance learning programs. Again, this is an example of intersectional analysis and intersectionality. A learner may have a tablet, may have a smartphone, but lack reliable access to electricity to power their gadgets, and this also applies to TV and radio. Similarly, lack of reliable access to the Internet and/or ability to buy data, also limits the ability of learners to access digital learning programs. This is also leaving aside the question of learners having the understanding, skills and capacities for effectively using digital technologies for learning purposes – an issue that I will discuss shortly. </w:t>
      </w:r>
    </w:p>
    <w:p w:rsidR="00000000" w:rsidDel="00000000" w:rsidP="00000000" w:rsidRDefault="00000000" w:rsidRPr="00000000" w14:paraId="0000001C">
      <w:pPr>
        <w:ind w:firstLine="720"/>
        <w:rPr>
          <w:rFonts w:ascii="Calibri" w:cs="Calibri" w:eastAsia="Calibri" w:hAnsi="Calibri"/>
        </w:rPr>
      </w:pPr>
      <w:r w:rsidDel="00000000" w:rsidR="00000000" w:rsidRPr="00000000">
        <w:rPr>
          <w:rFonts w:ascii="Calibri" w:cs="Calibri" w:eastAsia="Calibri" w:hAnsi="Calibri"/>
          <w:rtl w:val="0"/>
        </w:rPr>
        <w:t xml:space="preserve">Often linked with SES is the issue of time available to parents and learners. A prominent theme in my research concerned parents keeping their children busy with non-school related activities, often out of necessity to help contribute to the family and meeting basic needs. Thus, rates of child labour have increased, particularly in poor families, as a result of the COVID-19 pandemic (Lancker &amp; Parolin, 2020). In low SES contexts, parents and caregivers often do not have sufficient time to devote to engaging with and supporting their children’s learning. </w:t>
      </w:r>
    </w:p>
    <w:p w:rsidR="00000000" w:rsidDel="00000000" w:rsidP="00000000" w:rsidRDefault="00000000" w:rsidRPr="00000000" w14:paraId="0000001D">
      <w:pPr>
        <w:ind w:firstLine="720"/>
        <w:rPr>
          <w:rFonts w:ascii="Calibri" w:cs="Calibri" w:eastAsia="Calibri" w:hAnsi="Calibri"/>
        </w:rPr>
      </w:pPr>
      <w:r w:rsidDel="00000000" w:rsidR="00000000" w:rsidRPr="00000000">
        <w:rPr>
          <w:rFonts w:ascii="Calibri" w:cs="Calibri" w:eastAsia="Calibri" w:hAnsi="Calibri"/>
          <w:rtl w:val="0"/>
        </w:rPr>
        <w:t xml:space="preserve">Gender is a further driver of inequity in education, as has been widely documented for decades (see for example, Connell, 2010; GPE, 2020; Tembon &amp; Fort, 2013; Wodon, Montenegro, Nguyen, &amp; Onagoruwa, 2018). In many countries, girls are disadvantaged relative to boys in terms of access, retention, the nature and quality of teaching/learning experienced, and educational outcomes (Baily &amp; Holmarsdottir, 2015). Given the importance of digital learning in the context of school closures, it is important to highlight that there is gendered digital divide. In a global survey, it was found that in low- and middle-income countries, boys are 1 1/2 times more likely to own a phone than girls, and boys are 1.8 times more likely to have smart phones with the ability to access the Internet</w:t>
      </w:r>
      <w:r w:rsidDel="00000000" w:rsidR="00000000" w:rsidRPr="00000000">
        <w:rPr>
          <w:rFonts w:ascii="Calibri" w:cs="Calibri" w:eastAsia="Calibri" w:hAnsi="Calibri"/>
          <w:vertAlign w:val="superscript"/>
        </w:rPr>
        <w:footnoteReference w:customMarkFollows="0" w:id="2"/>
      </w: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ind w:firstLine="720"/>
        <w:rPr>
          <w:rFonts w:ascii="Calibri" w:cs="Calibri" w:eastAsia="Calibri" w:hAnsi="Calibri"/>
        </w:rPr>
      </w:pPr>
      <w:r w:rsidDel="00000000" w:rsidR="00000000" w:rsidRPr="00000000">
        <w:rPr>
          <w:rFonts w:ascii="Calibri" w:cs="Calibri" w:eastAsia="Calibri" w:hAnsi="Calibri"/>
          <w:rtl w:val="0"/>
        </w:rPr>
        <w:t xml:space="preserve">There is also an increased risk of gender-based violence, particularly during school closures. Again, because children are/were spending far more time at home, there is concern that some homes are not the safe spaces that we want them to be and what children need them to be. Young people are in these spaces during lockdowns, locked in and oftentimes isolated and cut off from potential support systems and people, including their teachers. Thus, there has been an increased risk for some children, and there is a gender dimension to these risks. </w:t>
      </w:r>
    </w:p>
    <w:p w:rsidR="00000000" w:rsidDel="00000000" w:rsidP="00000000" w:rsidRDefault="00000000" w:rsidRPr="00000000" w14:paraId="0000001F">
      <w:pPr>
        <w:ind w:firstLine="720"/>
        <w:rPr>
          <w:rFonts w:ascii="Calibri" w:cs="Calibri" w:eastAsia="Calibri" w:hAnsi="Calibri"/>
        </w:rPr>
      </w:pPr>
      <w:r w:rsidDel="00000000" w:rsidR="00000000" w:rsidRPr="00000000">
        <w:rPr>
          <w:rFonts w:ascii="Calibri" w:cs="Calibri" w:eastAsia="Calibri" w:hAnsi="Calibri"/>
          <w:rtl w:val="0"/>
        </w:rPr>
        <w:t xml:space="preserve">I also want to highlight that surging rates of early pregnancy and marriage in some country contexts have become a significant and growing concern in many parts of the world, particularly in sub-Saharan Africa. While we know that this is happening, we do not yet know the impact this will have on girls and young women returning to school to complete their studies. While there is a risk that we will see a significant drop-out of students as a result of the school disruptions and child poverty – Save the Children estimates 9.7 million children are at risk (Warren &amp; Wagner, 2020), the risks are higher more when we are talking about young mothers and the fact that many countries do not have adequate or equitable school re-entry policies</w:t>
      </w:r>
      <w:r w:rsidDel="00000000" w:rsidR="00000000" w:rsidRPr="00000000">
        <w:rPr>
          <w:rFonts w:ascii="Calibri" w:cs="Calibri" w:eastAsia="Calibri" w:hAnsi="Calibri"/>
          <w:vertAlign w:val="superscript"/>
        </w:rPr>
        <w:footnoteReference w:customMarkFollows="0" w:id="3"/>
      </w:r>
      <w:r w:rsidDel="00000000" w:rsidR="00000000" w:rsidRPr="00000000">
        <w:rPr>
          <w:rFonts w:ascii="Calibri" w:cs="Calibri" w:eastAsia="Calibri" w:hAnsi="Calibri"/>
          <w:rtl w:val="0"/>
        </w:rPr>
        <w:t xml:space="preserve"> (Zuilkowski, Henning, Zulu, Matafwali, 2019). There is a lot of work and advocacy going on in this area.</w:t>
      </w:r>
    </w:p>
    <w:p w:rsidR="00000000" w:rsidDel="00000000" w:rsidP="00000000" w:rsidRDefault="00000000" w:rsidRPr="00000000" w14:paraId="00000020">
      <w:pPr>
        <w:ind w:firstLine="720"/>
        <w:rPr>
          <w:rFonts w:ascii="Calibri" w:cs="Calibri" w:eastAsia="Calibri" w:hAnsi="Calibri"/>
        </w:rPr>
      </w:pPr>
      <w:r w:rsidDel="00000000" w:rsidR="00000000" w:rsidRPr="00000000">
        <w:rPr>
          <w:rFonts w:ascii="Calibri" w:cs="Calibri" w:eastAsia="Calibri" w:hAnsi="Calibri"/>
          <w:rtl w:val="0"/>
        </w:rPr>
        <w:t xml:space="preserve">We also see different abilities and disabilities as drivers of inequality. The evidence suggests that learners with special needs have suffered disproportionately during the pandemic, including in low- middle- and high-income contexts (Masonbrink &amp; Hurley, 2020; Toquero, 2020). During school closures, many learners with special needs (e.g., visual and/or hearing impairment, physical disabilities, autism, etc.) were marginalized by crisis education responses that did not include consideration of their different needs. There is also evidence to suggest that in the context of school re-openings, students with special needs have received inadequate attention and support (ibid). </w:t>
      </w:r>
    </w:p>
    <w:p w:rsidR="00000000" w:rsidDel="00000000" w:rsidP="00000000" w:rsidRDefault="00000000" w:rsidRPr="00000000" w14:paraId="00000021">
      <w:pPr>
        <w:ind w:firstLine="720"/>
        <w:rPr>
          <w:rFonts w:ascii="Calibri" w:cs="Calibri" w:eastAsia="Calibri" w:hAnsi="Calibri"/>
        </w:rPr>
      </w:pPr>
      <w:r w:rsidDel="00000000" w:rsidR="00000000" w:rsidRPr="00000000">
        <w:rPr>
          <w:rFonts w:ascii="Calibri" w:cs="Calibri" w:eastAsia="Calibri" w:hAnsi="Calibri"/>
          <w:rtl w:val="0"/>
        </w:rPr>
        <w:t xml:space="preserve">Race and ethnicity are further drivers of inequity in education (and beyond). Research highlights the structural disadvantages experienced by racialized people and groups, to draw attention to the reality that depending upon your ethnic background, in some country contexts or regional contexts, this can negatively impact your ability to access educational opportunities and it can negatively affect your educational experiences (Bhopal, 2016). While race/ethnicity is a driver of inequity outside of the pandemic context, within the context of crisis responses, ethnicity can become a more or less salient factor in terms of the supports and opportunities available to you. Related to race/ethnicity is the issue of language. Here the problem is that national distance/remote learning programming is largely delivered in one or possibly two dominant languages, thus preventing access to linguistic minority learners (Mundy et al., 2020).  </w:t>
      </w:r>
    </w:p>
    <w:p w:rsidR="00000000" w:rsidDel="00000000" w:rsidP="00000000" w:rsidRDefault="00000000" w:rsidRPr="00000000" w14:paraId="00000022">
      <w:pPr>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rPr>
      </w:pPr>
      <w:r w:rsidDel="00000000" w:rsidR="00000000" w:rsidRPr="00000000">
        <w:rPr>
          <w:rFonts w:ascii="Calibri" w:cs="Calibri" w:eastAsia="Calibri" w:hAnsi="Calibri"/>
          <w:b w:val="1"/>
          <w:rtl w:val="0"/>
        </w:rPr>
        <w:t xml:space="preserve">“Build Back Better”: Exploring Values and Strategies in Crisis Education Responses</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ind w:firstLine="720"/>
        <w:rPr>
          <w:rFonts w:ascii="Calibri" w:cs="Calibri" w:eastAsia="Calibri" w:hAnsi="Calibri"/>
        </w:rPr>
      </w:pPr>
      <w:r w:rsidDel="00000000" w:rsidR="00000000" w:rsidRPr="00000000">
        <w:rPr>
          <w:rFonts w:ascii="Calibri" w:cs="Calibri" w:eastAsia="Calibri" w:hAnsi="Calibri"/>
          <w:rtl w:val="0"/>
        </w:rPr>
        <w:t xml:space="preserve">Now, this concept ‘build back better’, I think you probably have all come across this at one time or another in the past few months. It seems to certainly be a galvanizing discourse and call to action. I see this ‘build back better’ call as reflecting recognition that the COVID19 pandemic is an opportunity to take on the challenges that existed before the pandemic and intentionally and meaningfully pursue the radical transformations required of education systems. In other words, COVID-19 is an opportunity to build back, not to where education systems were, but even better and I like to think that this build back better call to action is really also signaling the need and the desire to take inequality and inequity, seriously. I want to repeat a point that I have already made, just because I feel that it is so critical to understand, and that concerns the need to recognize and face the challenges that existed </w:t>
      </w:r>
      <w:r w:rsidDel="00000000" w:rsidR="00000000" w:rsidRPr="00000000">
        <w:rPr>
          <w:rFonts w:ascii="Calibri" w:cs="Calibri" w:eastAsia="Calibri" w:hAnsi="Calibri"/>
          <w:b w:val="1"/>
          <w:rtl w:val="0"/>
        </w:rPr>
        <w:t xml:space="preserve">before</w:t>
      </w:r>
      <w:r w:rsidDel="00000000" w:rsidR="00000000" w:rsidRPr="00000000">
        <w:rPr>
          <w:rFonts w:ascii="Calibri" w:cs="Calibri" w:eastAsia="Calibri" w:hAnsi="Calibri"/>
          <w:rtl w:val="0"/>
        </w:rPr>
        <w:t xml:space="preserve"> COVID-19 (see for example, García &amp; Weiss, 2020).</w:t>
      </w:r>
    </w:p>
    <w:p w:rsidR="00000000" w:rsidDel="00000000" w:rsidP="00000000" w:rsidRDefault="00000000" w:rsidRPr="00000000" w14:paraId="00000027">
      <w:pPr>
        <w:ind w:firstLine="720"/>
        <w:rPr>
          <w:rFonts w:ascii="Calibri" w:cs="Calibri" w:eastAsia="Calibri" w:hAnsi="Calibri"/>
        </w:rPr>
      </w:pPr>
      <w:r w:rsidDel="00000000" w:rsidR="00000000" w:rsidRPr="00000000">
        <w:rPr>
          <w:rFonts w:ascii="Calibri" w:cs="Calibri" w:eastAsia="Calibri" w:hAnsi="Calibri"/>
          <w:rtl w:val="0"/>
        </w:rPr>
        <w:t xml:space="preserve">I was thinking about what some of the constituent elements of a build back better agenda for education might be, and through my review of the literature, I have been able to distill some foundational pieces of this complex puzzle. First, building back better means protecting the right to quality education for all, thus connecting with Sustainable Development Goal 4. Second, it is about ensuring continuity of learning and mitigating the impacts of learning losses and gaps caused by school closures and shifts to distance and digital learning modalities. Third, building back better means ensuring the socio-emotional well-being of all, and it also means ensuring that all children, families and communities equitably benefit from and are supported by education policy and practice in this build back better era.</w:t>
      </w:r>
    </w:p>
    <w:p w:rsidR="00000000" w:rsidDel="00000000" w:rsidP="00000000" w:rsidRDefault="00000000" w:rsidRPr="00000000" w14:paraId="00000028">
      <w:pPr>
        <w:ind w:firstLine="720"/>
        <w:rPr>
          <w:rFonts w:ascii="Calibri" w:cs="Calibri" w:eastAsia="Calibri" w:hAnsi="Calibri"/>
        </w:rPr>
      </w:pPr>
      <w:r w:rsidDel="00000000" w:rsidR="00000000" w:rsidRPr="00000000">
        <w:rPr>
          <w:rFonts w:ascii="Calibri" w:cs="Calibri" w:eastAsia="Calibri" w:hAnsi="Calibri"/>
          <w:rtl w:val="0"/>
        </w:rPr>
        <w:t xml:space="preserve">Now, let’s discuss some of the goals and strategies that are featured in country-level crisis education responses. The literature is clear that the focus needs to be dual; we cannot elevate equity over quality, and we cannot elevate quality over equity. They need to be prioritized and pursued equally. There is not a trade-off here: it is not a zero-sum game in that gains made in terms of learning quality mean losses in terms of equity. Research shows that we can raise both of these dimensions of the educational experience at the same time. </w:t>
      </w:r>
    </w:p>
    <w:p w:rsidR="00000000" w:rsidDel="00000000" w:rsidP="00000000" w:rsidRDefault="00000000" w:rsidRPr="00000000" w14:paraId="00000029">
      <w:pPr>
        <w:ind w:firstLine="720"/>
        <w:rPr>
          <w:rFonts w:ascii="Calibri" w:cs="Calibri" w:eastAsia="Calibri" w:hAnsi="Calibri"/>
        </w:rPr>
      </w:pPr>
      <w:r w:rsidDel="00000000" w:rsidR="00000000" w:rsidRPr="00000000">
        <w:rPr>
          <w:rFonts w:ascii="Calibri" w:cs="Calibri" w:eastAsia="Calibri" w:hAnsi="Calibri"/>
          <w:rtl w:val="0"/>
        </w:rPr>
        <w:t xml:space="preserve">There is a need for multi-prong, multisectoral and transformative approaches. Above, I talked about social dialogue and that we have seen an increase of such processes in many countries, with governments working with educators, teachers’ associations, etc., trying to come together to plan safe school re-openings as well as strategize ways to ensure that learners can “catch up” or “make up” for learning time losses as a result of school closures. Issues of psycho-social development and emotional well-being have also been at the center of social dialogue processes in developing crisis education responses (see for example, Teacher Task Force, 2020; Sayed &amp; Bulgrin, 2020; Symeonidis, 2015; UNESCO, 2018). </w:t>
      </w:r>
    </w:p>
    <w:p w:rsidR="00000000" w:rsidDel="00000000" w:rsidP="00000000" w:rsidRDefault="00000000" w:rsidRPr="00000000" w14:paraId="0000002A">
      <w:pPr>
        <w:ind w:firstLine="720"/>
        <w:rPr>
          <w:rFonts w:ascii="Calibri" w:cs="Calibri" w:eastAsia="Calibri" w:hAnsi="Calibri"/>
        </w:rPr>
      </w:pPr>
      <w:r w:rsidDel="00000000" w:rsidR="00000000" w:rsidRPr="00000000">
        <w:rPr>
          <w:rFonts w:ascii="Calibri" w:cs="Calibri" w:eastAsia="Calibri" w:hAnsi="Calibri"/>
          <w:rtl w:val="0"/>
        </w:rPr>
        <w:t xml:space="preserve">There is a need to ensure that adequate information, training, and PPE (personal protective equipment) is provided to schools for safe re-openings. It has been necessary to re-consider and somehow alter the organization of schools so that COVID-19 safety protocols can be effectively implemented. For example, large class sizes are a common challenge in many parts of the world, and large class sizes make it difficult to re-arrange physical spaces in accordance with physical distancing protocols. </w:t>
      </w:r>
    </w:p>
    <w:p w:rsidR="00000000" w:rsidDel="00000000" w:rsidP="00000000" w:rsidRDefault="00000000" w:rsidRPr="00000000" w14:paraId="0000002B">
      <w:pPr>
        <w:ind w:firstLine="720"/>
        <w:rPr>
          <w:rFonts w:ascii="Calibri" w:cs="Calibri" w:eastAsia="Calibri" w:hAnsi="Calibri"/>
        </w:rPr>
      </w:pPr>
      <w:r w:rsidDel="00000000" w:rsidR="00000000" w:rsidRPr="00000000">
        <w:rPr>
          <w:rFonts w:ascii="Calibri" w:cs="Calibri" w:eastAsia="Calibri" w:hAnsi="Calibri"/>
          <w:rtl w:val="0"/>
        </w:rPr>
        <w:t xml:space="preserve">There is a need for pedagogical and technological changes and also changes to physical and digital infrastructures. Pedagogically, a key concern focuses on different capacities for independent learning. There is evidence of generational gaps in terms of capacity and skills with using digital learning technologies, but also a lot of educators I have spoken with suggested that kids often have difficulty learning on their own because it is not a pedagogical approach that is centered in schools. Similarly, Just the same as many teachers are not trained in many countries (and not all of course), but because in many countries digital teaching and learning skills are not part of initial teacher education programs, teachers, have been really hit hard by this need to pivot to online or distance teaching modalities (Marshall, Shannon, &amp; Love, 2020). But also, kids, because they are going through a system where there is a teacher that directs, tells students what to read, what to look for, and assesses knowledge acquired. Thus, many young people still do not know how or are not proficient at learning on their own, and this needs to be addressed. </w:t>
      </w:r>
    </w:p>
    <w:p w:rsidR="00000000" w:rsidDel="00000000" w:rsidP="00000000" w:rsidRDefault="00000000" w:rsidRPr="00000000" w14:paraId="0000002C">
      <w:pPr>
        <w:ind w:firstLine="720"/>
        <w:rPr>
          <w:rFonts w:ascii="Calibri" w:cs="Calibri" w:eastAsia="Calibri" w:hAnsi="Calibri"/>
        </w:rPr>
      </w:pPr>
      <w:r w:rsidDel="00000000" w:rsidR="00000000" w:rsidRPr="00000000">
        <w:rPr>
          <w:rFonts w:ascii="Calibri" w:cs="Calibri" w:eastAsia="Calibri" w:hAnsi="Calibri"/>
          <w:rtl w:val="0"/>
        </w:rPr>
        <w:t xml:space="preserve">I have found some evidence to suggest that teachers are recognizing this gap, learned through the experience of distance and digital learning during school closures, and have tried to adjust their pedagogical approaches to nurture self-directed learning skills amongst their students. For example, in the context of partial re-openings for students writing high stakes leaving exams (grade 9 and 12) in Ghana, teachers reported working with their colleagues to implement “flipped classrooms” – where students are responsible for covering material prior to the class where it is addressed by the teacher. Thus, pedagogical changes are needed and have been part of some efforts to “build back better”. Lastly, but quite critically, technological changes are required in terms of investing in physical and digital infrastructures.</w:t>
      </w:r>
    </w:p>
    <w:p w:rsidR="00000000" w:rsidDel="00000000" w:rsidP="00000000" w:rsidRDefault="00000000" w:rsidRPr="00000000" w14:paraId="0000002D">
      <w:pPr>
        <w:ind w:firstLine="720"/>
        <w:rPr>
          <w:rFonts w:ascii="Calibri" w:cs="Calibri" w:eastAsia="Calibri" w:hAnsi="Calibri"/>
        </w:rPr>
      </w:pPr>
      <w:r w:rsidDel="00000000" w:rsidR="00000000" w:rsidRPr="00000000">
        <w:rPr>
          <w:rFonts w:ascii="Calibri" w:cs="Calibri" w:eastAsia="Calibri" w:hAnsi="Calibri"/>
          <w:rtl w:val="0"/>
        </w:rPr>
        <w:t xml:space="preserve">Another key idea that I wanted to highlight from my review concerns the need for meaningful and targeted support for parents and guardians</w:t>
      </w:r>
      <w:r w:rsidDel="00000000" w:rsidR="00000000" w:rsidRPr="00000000">
        <w:rPr>
          <w:rFonts w:ascii="Calibri" w:cs="Calibri" w:eastAsia="Calibri" w:hAnsi="Calibri"/>
          <w:vertAlign w:val="superscript"/>
        </w:rPr>
        <w:footnoteReference w:customMarkFollows="0" w:id="4"/>
      </w:r>
      <w:r w:rsidDel="00000000" w:rsidR="00000000" w:rsidRPr="00000000">
        <w:rPr>
          <w:rFonts w:ascii="Calibri" w:cs="Calibri" w:eastAsia="Calibri" w:hAnsi="Calibri"/>
          <w:rtl w:val="0"/>
        </w:rPr>
        <w:t xml:space="preserve">. In addition to home schooling and trying to support their children with learning, parents and guardians could be facing or have experienced job losses, or changes to their socioeconomic status. The pandemic has understandably sparked widespread fear, uncertainty, and ambiguity and this increases stress levels and can cause anxiety and depression, thus making it harder for parents to be the supports that they want to be and what their children need them to be. I have been heartened to see the level of discussion about providing meaningful and targeted support for parents and guardians in my research.</w:t>
      </w:r>
    </w:p>
    <w:p w:rsidR="00000000" w:rsidDel="00000000" w:rsidP="00000000" w:rsidRDefault="00000000" w:rsidRPr="00000000" w14:paraId="0000002E">
      <w:pPr>
        <w:ind w:firstLine="720"/>
        <w:rPr>
          <w:rFonts w:ascii="Calibri" w:cs="Calibri" w:eastAsia="Calibri" w:hAnsi="Calibri"/>
        </w:rPr>
      </w:pPr>
      <w:r w:rsidDel="00000000" w:rsidR="00000000" w:rsidRPr="00000000">
        <w:rPr>
          <w:rFonts w:ascii="Calibri" w:cs="Calibri" w:eastAsia="Calibri" w:hAnsi="Calibri"/>
          <w:rtl w:val="0"/>
        </w:rPr>
        <w:t xml:space="preserve">There is also, of course, the need to recognize and support teachers and school leaders. I think in all of this, so many people have realized that teachers are essential workers. They are front line workers. They have the know-how, they are problem solvers, particularly when they have a chance to collaborate and work together and learn together and implement together. In addition to providing spaces for such in-service teacher collaboration, professional learning and experimentation, there is a need to invest in and reform initial teacher training. Part of reforming initial teacher education will involve integrating content and providing experiential learning opportunities in the area of digital teaching and learning. Reforms to initial teacher education should also support the development of teachers’ understanding and skills in implementing learner-centered pedagogy to build up students’ independent learning capacities and confidence. </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rPr>
      </w:pPr>
      <w:r w:rsidDel="00000000" w:rsidR="00000000" w:rsidRPr="00000000">
        <w:rPr>
          <w:rFonts w:ascii="Calibri" w:cs="Calibri" w:eastAsia="Calibri" w:hAnsi="Calibri"/>
          <w:b w:val="1"/>
          <w:rtl w:val="0"/>
        </w:rPr>
        <w:t xml:space="preserve">Concluding Remarks</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ab/>
        <w:t xml:space="preserve">The focus of this brief paper has been on highlighting the main equity issues and implications of the COVID-19 pandemic in the education sector. I have presented key findings from my global review of scholarly and grey literatures on the topic, published since early in 2020. In my discussion and analysis, I have also drawn on UNESCO-sponsored research that I completed in July-September 2020, focused on teacher leadership and innovation in developing crisis education responses in Africa and Latin America (Mundy, Manion, Proulx and Feitosa de Britto, 2020). </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ab/>
        <w:t xml:space="preserve">My main argument has been that the COVID-19 pandemic has not so much caused inequities in education as it has amplified the effects of pre-existing drivers of inequity, in education and beyond. Thus, following a brief contextualization of crisis education responses, I center the discussion on several pre-existing drivers of inequity: geographic location, socio-economic status, gender, ethnicity/race, and different abilities/disabilities. In the last part of the paper, I present a brief overview of some of the foundational elements of a “build back better” agenda in a post-COVID-19 world, and as part of this discussion, I identify some key areas for policy and action to ensure access to quality, inclusive education for all. </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rPr>
      </w:pPr>
      <w:r w:rsidDel="00000000" w:rsidR="00000000" w:rsidRPr="00000000">
        <w:rPr>
          <w:rFonts w:ascii="Calibri" w:cs="Calibri" w:eastAsia="Calibri" w:hAnsi="Calibri"/>
          <w:b w:val="1"/>
          <w:rtl w:val="0"/>
        </w:rPr>
        <w:t xml:space="preserve">References</w:t>
      </w:r>
    </w:p>
    <w:p w:rsidR="00000000" w:rsidDel="00000000" w:rsidP="00000000" w:rsidRDefault="00000000" w:rsidRPr="00000000" w14:paraId="00000037">
      <w:pPr>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rPr>
          <w:rFonts w:ascii="Calibri" w:cs="Calibri" w:eastAsia="Calibri" w:hAnsi="Calibri"/>
          <w:color w:val="000000"/>
        </w:rPr>
      </w:pPr>
      <w:r w:rsidDel="00000000" w:rsidR="00000000" w:rsidRPr="00000000">
        <w:rPr>
          <w:rFonts w:ascii="Calibri" w:cs="Calibri" w:eastAsia="Calibri" w:hAnsi="Calibri"/>
          <w:color w:val="000000"/>
          <w:rtl w:val="0"/>
        </w:rPr>
        <w:t xml:space="preserve">Baily, S. &amp; Holmarsdottir, H. (2015). The quality of equity: Reframing gender, development and</w:t>
      </w:r>
    </w:p>
    <w:p w:rsidR="00000000" w:rsidDel="00000000" w:rsidP="00000000" w:rsidRDefault="00000000" w:rsidRPr="00000000" w14:paraId="00000039">
      <w:pP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education in the post-2020 landscape. </w:t>
      </w:r>
      <w:r w:rsidDel="00000000" w:rsidR="00000000" w:rsidRPr="00000000">
        <w:rPr>
          <w:rFonts w:ascii="Calibri" w:cs="Calibri" w:eastAsia="Calibri" w:hAnsi="Calibri"/>
          <w:i w:val="1"/>
          <w:color w:val="000000"/>
          <w:rtl w:val="0"/>
        </w:rPr>
        <w:t xml:space="preserve">Gender and Education, 27</w:t>
      </w:r>
      <w:r w:rsidDel="00000000" w:rsidR="00000000" w:rsidRPr="00000000">
        <w:rPr>
          <w:rFonts w:ascii="Calibri" w:cs="Calibri" w:eastAsia="Calibri" w:hAnsi="Calibri"/>
          <w:color w:val="000000"/>
          <w:rtl w:val="0"/>
        </w:rPr>
        <w:t xml:space="preserve">(7), 828-845.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Baloran, E. T. (2020) Knowledge, attitudes, anxiety, and coping strategies of students during</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COVID-19 pandemic.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Journal of Loss and Trauma, 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 635-642.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Baron, E. J., Goldstein, E. G., Wallace, C. T. (2020). Suffering in silence: how COVID-19 school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closures inhibit the reporting of child maltreatment.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Journal of Public Economics, 190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1-13.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Bhopal, K. (2016). Race, education and inequality. British Journal of Sociology of Education,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37(3), 488-497.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Chen, H.I., Chen, C.Y., Pakpour, A. H., Griffiths, M.D., and Lin, C.Y. (2020). Letters to the editor:</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Internet-related behaviors and psychological distress among schoolchildren during COVID-19 school suspension.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Journal of the American Academy of Child and Adolescent Psychiatry, 59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1099-1101.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Crenshaw, K. (1989) Demarginalizing the intersection of race and sex: A Black feminist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critique of antidiscrimination doctrine, feminist theory and antiracist politics.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University of Chicago Legal Forum</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1989, Article 8. </w:t>
      </w:r>
      <w:hyperlink r:id="rId10">
        <w:r w:rsidDel="00000000" w:rsidR="00000000" w:rsidRPr="00000000">
          <w:rPr>
            <w:rFonts w:ascii="Calibri" w:cs="Calibri" w:eastAsia="Calibri" w:hAnsi="Calibri"/>
            <w:b w:val="0"/>
            <w:i w:val="0"/>
            <w:smallCaps w:val="0"/>
            <w:strike w:val="0"/>
            <w:color w:val="0000ff"/>
            <w:sz w:val="24"/>
            <w:szCs w:val="24"/>
            <w:highlight w:val="white"/>
            <w:u w:val="single"/>
            <w:vertAlign w:val="baseline"/>
            <w:rtl w:val="0"/>
          </w:rPr>
          <w:t xml:space="preserve">https://chicagounbound.uchicago.edu/uclf/vol1989/iss1/8</w:t>
        </w:r>
      </w:hyperlink>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Connell, R. (2010). Kartini's children: On the need for thinking gender and education together</w:t>
      </w:r>
    </w:p>
    <w:p w:rsidR="00000000" w:rsidDel="00000000" w:rsidP="00000000" w:rsidRDefault="00000000" w:rsidRPr="00000000" w14:paraId="00000045">
      <w:pPr>
        <w:ind w:firstLine="720"/>
        <w:rPr>
          <w:rFonts w:ascii="Calibri" w:cs="Calibri" w:eastAsia="Calibri" w:hAnsi="Calibri"/>
        </w:rPr>
      </w:pPr>
      <w:r w:rsidDel="00000000" w:rsidR="00000000" w:rsidRPr="00000000">
        <w:rPr>
          <w:rFonts w:ascii="Calibri" w:cs="Calibri" w:eastAsia="Calibri" w:hAnsi="Calibri"/>
          <w:rtl w:val="0"/>
        </w:rPr>
        <w:t xml:space="preserve">on a world scale. </w:t>
      </w:r>
      <w:r w:rsidDel="00000000" w:rsidR="00000000" w:rsidRPr="00000000">
        <w:rPr>
          <w:rFonts w:ascii="Calibri" w:cs="Calibri" w:eastAsia="Calibri" w:hAnsi="Calibri"/>
          <w:i w:val="1"/>
          <w:rtl w:val="0"/>
        </w:rPr>
        <w:t xml:space="preserve">Gender and Education, 22</w:t>
      </w:r>
      <w:r w:rsidDel="00000000" w:rsidR="00000000" w:rsidRPr="00000000">
        <w:rPr>
          <w:rFonts w:ascii="Calibri" w:cs="Calibri" w:eastAsia="Calibri" w:hAnsi="Calibri"/>
          <w:rtl w:val="0"/>
        </w:rPr>
        <w:t xml:space="preserve">(6), 603-615.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Desire2Learn (D2L). (2020).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Education equity, the digital divide and COVID-19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D2L Discussion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Paper. </w:t>
      </w: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https://www.d2l.com/resources/assets/education-equity-the-digital-divide-and-covid-19/</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García, E., and Weiss, E. (2020).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COVID-19 and student performance, equity, and U.S. education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policy: lessons from pre-pandemic research to inform relief, recovery, and rebuilding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Washington, DC: Economic Policy Institute. </w:t>
      </w:r>
      <w:hyperlink r:id="rId1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https://www.epi.org/publication/the-consequences-of-the-covid-19-pandemic-for-education-performance-and-equity-in-the-united-states-what-can-we-learn-from-pre-pandemic-research-to-inform-relief-recovery-and-rebuilding/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Global Partnership for Education (GPE). (2020).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role of gender equality and girls’ education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 times of COVID-19.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Webinar. </w:t>
      </w:r>
      <w:hyperlink r:id="rId13">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https://www.globalpartnership.org/events/role-gender-equality-and-girls-education-times-covid-19</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International Labour Organization (n.d.). </w:t>
      </w:r>
      <w:r w:rsidDel="00000000" w:rsidR="00000000" w:rsidRPr="00000000">
        <w:rPr>
          <w:rFonts w:ascii="Calibri" w:cs="Calibri" w:eastAsia="Calibri" w:hAnsi="Calibri"/>
          <w:i w:val="1"/>
          <w:rtl w:val="0"/>
        </w:rPr>
        <w:t xml:space="preserve">Social dialogue</w:t>
      </w:r>
      <w:r w:rsidDel="00000000" w:rsidR="00000000" w:rsidRPr="00000000">
        <w:rPr>
          <w:rFonts w:ascii="Calibri" w:cs="Calibri" w:eastAsia="Calibri" w:hAnsi="Calibri"/>
          <w:rtl w:val="0"/>
        </w:rPr>
        <w:t xml:space="preserve">. Governance. </w:t>
      </w:r>
    </w:p>
    <w:p w:rsidR="00000000" w:rsidDel="00000000" w:rsidP="00000000" w:rsidRDefault="00000000" w:rsidRPr="00000000" w14:paraId="0000004D">
      <w:pPr>
        <w:ind w:left="720" w:firstLine="0"/>
        <w:rPr>
          <w:rFonts w:ascii="Calibri" w:cs="Calibri" w:eastAsia="Calibri" w:hAnsi="Calibri"/>
        </w:rPr>
      </w:pPr>
      <w:hyperlink r:id="rId14">
        <w:r w:rsidDel="00000000" w:rsidR="00000000" w:rsidRPr="00000000">
          <w:rPr>
            <w:color w:val="0000ff"/>
            <w:u w:val="single"/>
            <w:rtl w:val="0"/>
          </w:rPr>
          <w:t xml:space="preserve">https://www.ilo.org/ifpdial/areas-of-work/social-dialogue/lang--en/index.htm)%20%20a</w:t>
        </w:r>
      </w:hyperlink>
      <w:r w:rsidDel="00000000" w:rsidR="00000000" w:rsidRPr="00000000">
        <w:rPr>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4E">
      <w:pPr>
        <w:rPr/>
      </w:pPr>
      <w:r w:rsidDel="00000000" w:rsidR="00000000" w:rsidRPr="00000000">
        <w:rPr>
          <w:rFonts w:ascii="Calibri" w:cs="Calibri" w:eastAsia="Calibri" w:hAnsi="Calibri"/>
          <w:rtl w:val="0"/>
        </w:rPr>
        <w:t xml:space="preserve">International Labour Organization (ILO). (2011</w:t>
      </w:r>
      <w:r w:rsidDel="00000000" w:rsidR="00000000" w:rsidRPr="00000000">
        <w:rPr>
          <w:rFonts w:ascii="Calibri" w:cs="Calibri" w:eastAsia="Calibri" w:hAnsi="Calibri"/>
          <w:i w:val="1"/>
          <w:rtl w:val="0"/>
        </w:rPr>
        <w:t xml:space="preserve">). Social Dialogue: Different Views, One Goal</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4F">
      <w:pPr>
        <w:ind w:left="720" w:firstLine="0"/>
        <w:rPr>
          <w:rFonts w:ascii="Calibri" w:cs="Calibri" w:eastAsia="Calibri" w:hAnsi="Calibri"/>
        </w:rPr>
      </w:pPr>
      <w:r w:rsidDel="00000000" w:rsidR="00000000" w:rsidRPr="00000000">
        <w:rPr>
          <w:rFonts w:ascii="Calibri" w:cs="Calibri" w:eastAsia="Calibri" w:hAnsi="Calibri"/>
          <w:rtl w:val="0"/>
        </w:rPr>
        <w:t xml:space="preserve">Geneva: ILO.</w:t>
      </w:r>
      <w:r w:rsidDel="00000000" w:rsidR="00000000" w:rsidRPr="00000000">
        <w:rPr>
          <w:rtl w:val="0"/>
        </w:rPr>
        <w:t xml:space="preserve"> </w:t>
      </w:r>
      <w:hyperlink r:id="rId15">
        <w:r w:rsidDel="00000000" w:rsidR="00000000" w:rsidRPr="00000000">
          <w:rPr>
            <w:color w:val="0000ff"/>
            <w:u w:val="single"/>
            <w:rtl w:val="0"/>
          </w:rPr>
          <w:t xml:space="preserve">http://www.ilo.org/public/english/dialogue/download/broch2011e.pdf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50">
      <w:pPr>
        <w:rPr/>
      </w:pPr>
      <w:r w:rsidDel="00000000" w:rsidR="00000000" w:rsidRPr="00000000">
        <w:rPr>
          <w:rFonts w:ascii="Calibri" w:cs="Calibri" w:eastAsia="Calibri" w:hAnsi="Calibri"/>
          <w:rtl w:val="0"/>
        </w:rPr>
        <w:t xml:space="preserve">International Labour Organization (ILO). (2020). </w:t>
      </w:r>
      <w:r w:rsidDel="00000000" w:rsidR="00000000" w:rsidRPr="00000000">
        <w:rPr>
          <w:rFonts w:ascii="Calibri" w:cs="Calibri" w:eastAsia="Calibri" w:hAnsi="Calibri"/>
          <w:i w:val="1"/>
          <w:rtl w:val="0"/>
        </w:rPr>
        <w:t xml:space="preserve">COVID-19 and the education sector</w:t>
      </w:r>
      <w:r w:rsidDel="00000000" w:rsidR="00000000" w:rsidRPr="00000000">
        <w:rPr>
          <w:rFonts w:ascii="Calibri" w:cs="Calibri" w:eastAsia="Calibri" w:hAnsi="Calibri"/>
          <w:rtl w:val="0"/>
        </w:rPr>
        <w:t xml:space="preserve"> (ILO</w:t>
      </w:r>
      <w:r w:rsidDel="00000000" w:rsidR="00000000" w:rsidRPr="00000000">
        <w:rPr>
          <w:rtl w:val="0"/>
        </w:rPr>
      </w:r>
    </w:p>
    <w:p w:rsidR="00000000" w:rsidDel="00000000" w:rsidP="00000000" w:rsidRDefault="00000000" w:rsidRPr="00000000" w14:paraId="00000051">
      <w:pPr>
        <w:ind w:left="720" w:firstLine="0"/>
        <w:rPr>
          <w:rFonts w:ascii="Calibri" w:cs="Calibri" w:eastAsia="Calibri" w:hAnsi="Calibri"/>
        </w:rPr>
      </w:pPr>
      <w:r w:rsidDel="00000000" w:rsidR="00000000" w:rsidRPr="00000000">
        <w:rPr>
          <w:rFonts w:ascii="Calibri" w:cs="Calibri" w:eastAsia="Calibri" w:hAnsi="Calibri"/>
          <w:rtl w:val="0"/>
        </w:rPr>
        <w:t xml:space="preserve">Sectoral</w:t>
      </w:r>
      <w:r w:rsidDel="00000000" w:rsidR="00000000" w:rsidRPr="00000000">
        <w:rPr>
          <w:rtl w:val="0"/>
        </w:rPr>
        <w:t xml:space="preserve"> </w:t>
      </w:r>
      <w:r w:rsidDel="00000000" w:rsidR="00000000" w:rsidRPr="00000000">
        <w:rPr>
          <w:rFonts w:ascii="Calibri" w:cs="Calibri" w:eastAsia="Calibri" w:hAnsi="Calibri"/>
          <w:rtl w:val="0"/>
        </w:rPr>
        <w:t xml:space="preserve">Brief). </w:t>
      </w:r>
      <w:hyperlink r:id="rId16">
        <w:r w:rsidDel="00000000" w:rsidR="00000000" w:rsidRPr="00000000">
          <w:rPr>
            <w:color w:val="0000ff"/>
            <w:u w:val="single"/>
            <w:rtl w:val="0"/>
          </w:rPr>
          <w:t xml:space="preserve">https://www.ilo.org/wcmsp5/groups/public/---ed_dialogue/---sector/documents/briefingnote/wcms_742025.pdf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52">
      <w:pPr>
        <w:rPr>
          <w:rFonts w:ascii="Calibri" w:cs="Calibri" w:eastAsia="Calibri" w:hAnsi="Calibri"/>
          <w:color w:val="000000"/>
        </w:rPr>
      </w:pPr>
      <w:r w:rsidDel="00000000" w:rsidR="00000000" w:rsidRPr="00000000">
        <w:rPr>
          <w:rFonts w:ascii="Calibri" w:cs="Calibri" w:eastAsia="Calibri" w:hAnsi="Calibri"/>
          <w:color w:val="000000"/>
          <w:rtl w:val="0"/>
        </w:rPr>
        <w:t xml:space="preserve">Kuhfeld, M., Soland, J., Tarasawa, B., Johnson, A., Ruzek, E., and Liu, J. (2020). Projecting the</w:t>
      </w:r>
    </w:p>
    <w:p w:rsidR="00000000" w:rsidDel="00000000" w:rsidP="00000000" w:rsidRDefault="00000000" w:rsidRPr="00000000" w14:paraId="00000053">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potential impact of COVID-19 school closures on academic achievement. </w:t>
      </w:r>
      <w:r w:rsidDel="00000000" w:rsidR="00000000" w:rsidRPr="00000000">
        <w:rPr>
          <w:rFonts w:ascii="Calibri" w:cs="Calibri" w:eastAsia="Calibri" w:hAnsi="Calibri"/>
          <w:i w:val="1"/>
          <w:color w:val="000000"/>
          <w:rtl w:val="0"/>
        </w:rPr>
        <w:t xml:space="preserve">Educational Researcher, 49(</w:t>
      </w:r>
      <w:r w:rsidDel="00000000" w:rsidR="00000000" w:rsidRPr="00000000">
        <w:rPr>
          <w:rFonts w:ascii="Calibri" w:cs="Calibri" w:eastAsia="Calibri" w:hAnsi="Calibri"/>
          <w:color w:val="000000"/>
          <w:rtl w:val="0"/>
        </w:rPr>
        <w:t xml:space="preserve">8), 549-565. </w:t>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Lancker, W. V., and Parolin, Z. (2020). COVID-19, school closures, and child poverty: a social</w:t>
      </w:r>
    </w:p>
    <w:p w:rsidR="00000000" w:rsidDel="00000000" w:rsidP="00000000" w:rsidRDefault="00000000" w:rsidRPr="00000000" w14:paraId="00000055">
      <w:pPr>
        <w:ind w:firstLine="720"/>
        <w:rPr>
          <w:rFonts w:ascii="Calibri" w:cs="Calibri" w:eastAsia="Calibri" w:hAnsi="Calibri"/>
        </w:rPr>
      </w:pPr>
      <w:r w:rsidDel="00000000" w:rsidR="00000000" w:rsidRPr="00000000">
        <w:rPr>
          <w:rFonts w:ascii="Calibri" w:cs="Calibri" w:eastAsia="Calibri" w:hAnsi="Calibri"/>
          <w:rtl w:val="0"/>
        </w:rPr>
        <w:t xml:space="preserve">crisis in the making. </w:t>
      </w:r>
      <w:r w:rsidDel="00000000" w:rsidR="00000000" w:rsidRPr="00000000">
        <w:rPr>
          <w:rFonts w:ascii="Calibri" w:cs="Calibri" w:eastAsia="Calibri" w:hAnsi="Calibri"/>
          <w:i w:val="1"/>
          <w:rtl w:val="0"/>
        </w:rPr>
        <w:t xml:space="preserve">The Lancet, 5</w:t>
      </w:r>
      <w:r w:rsidDel="00000000" w:rsidR="00000000" w:rsidRPr="00000000">
        <w:rPr>
          <w:rFonts w:ascii="Calibri" w:cs="Calibri" w:eastAsia="Calibri" w:hAnsi="Calibri"/>
          <w:rtl w:val="0"/>
        </w:rPr>
        <w:t xml:space="preserve">, e243-e244. </w:t>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Marshall, D. T., Shannon, D. M., and Love, S. M. (2020). How teachers experienced the COVID-</w:t>
      </w:r>
    </w:p>
    <w:p w:rsidR="00000000" w:rsidDel="00000000" w:rsidP="00000000" w:rsidRDefault="00000000" w:rsidRPr="00000000" w14:paraId="00000057">
      <w:pPr>
        <w:ind w:firstLine="720"/>
        <w:rPr>
          <w:rFonts w:ascii="Calibri" w:cs="Calibri" w:eastAsia="Calibri" w:hAnsi="Calibri"/>
        </w:rPr>
      </w:pPr>
      <w:r w:rsidDel="00000000" w:rsidR="00000000" w:rsidRPr="00000000">
        <w:rPr>
          <w:rFonts w:ascii="Calibri" w:cs="Calibri" w:eastAsia="Calibri" w:hAnsi="Calibri"/>
          <w:rtl w:val="0"/>
        </w:rPr>
        <w:t xml:space="preserve">19 transition to remote instruction. </w:t>
      </w:r>
      <w:r w:rsidDel="00000000" w:rsidR="00000000" w:rsidRPr="00000000">
        <w:rPr>
          <w:rFonts w:ascii="Calibri" w:cs="Calibri" w:eastAsia="Calibri" w:hAnsi="Calibri"/>
          <w:i w:val="1"/>
          <w:rtl w:val="0"/>
        </w:rPr>
        <w:t xml:space="preserve">Phi Delta Kappan, 102</w:t>
      </w:r>
      <w:r w:rsidDel="00000000" w:rsidR="00000000" w:rsidRPr="00000000">
        <w:rPr>
          <w:rFonts w:ascii="Calibri" w:cs="Calibri" w:eastAsia="Calibri" w:hAnsi="Calibri"/>
          <w:rtl w:val="0"/>
        </w:rPr>
        <w:t xml:space="preserve">(3), 46-50. </w:t>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Masonbrink, A. R. and Hurley, E. (2020). Advocating for children during the COVID-19 school</w:t>
      </w:r>
    </w:p>
    <w:p w:rsidR="00000000" w:rsidDel="00000000" w:rsidP="00000000" w:rsidRDefault="00000000" w:rsidRPr="00000000" w14:paraId="00000059">
      <w:pPr>
        <w:ind w:firstLine="720"/>
        <w:rPr>
          <w:rFonts w:ascii="Calibri" w:cs="Calibri" w:eastAsia="Calibri" w:hAnsi="Calibri"/>
        </w:rPr>
      </w:pPr>
      <w:r w:rsidDel="00000000" w:rsidR="00000000" w:rsidRPr="00000000">
        <w:rPr>
          <w:rFonts w:ascii="Calibri" w:cs="Calibri" w:eastAsia="Calibri" w:hAnsi="Calibri"/>
          <w:rtl w:val="0"/>
        </w:rPr>
        <w:t xml:space="preserve">closures. </w:t>
      </w:r>
      <w:r w:rsidDel="00000000" w:rsidR="00000000" w:rsidRPr="00000000">
        <w:rPr>
          <w:rFonts w:ascii="Calibri" w:cs="Calibri" w:eastAsia="Calibri" w:hAnsi="Calibri"/>
          <w:i w:val="1"/>
          <w:rtl w:val="0"/>
        </w:rPr>
        <w:t xml:space="preserve">Pediatrics, 146</w:t>
      </w:r>
      <w:r w:rsidDel="00000000" w:rsidR="00000000" w:rsidRPr="00000000">
        <w:rPr>
          <w:rFonts w:ascii="Calibri" w:cs="Calibri" w:eastAsia="Calibri" w:hAnsi="Calibri"/>
          <w:rtl w:val="0"/>
        </w:rPr>
        <w:t xml:space="preserve">(3), 1-4. </w:t>
      </w:r>
    </w:p>
    <w:p w:rsidR="00000000" w:rsidDel="00000000" w:rsidP="00000000" w:rsidRDefault="00000000" w:rsidRPr="00000000" w14:paraId="0000005A">
      <w:pPr>
        <w:rPr>
          <w:rFonts w:ascii="Calibri" w:cs="Calibri" w:eastAsia="Calibri" w:hAnsi="Calibri"/>
          <w:i w:val="1"/>
        </w:rPr>
      </w:pPr>
      <w:r w:rsidDel="00000000" w:rsidR="00000000" w:rsidRPr="00000000">
        <w:rPr>
          <w:rFonts w:ascii="Calibri" w:cs="Calibri" w:eastAsia="Calibri" w:hAnsi="Calibri"/>
          <w:rtl w:val="0"/>
        </w:rPr>
        <w:t xml:space="preserve">Morgan, H. (2020). Best practices for implementing remote learning during a pandemic. </w:t>
      </w:r>
      <w:r w:rsidDel="00000000" w:rsidR="00000000" w:rsidRPr="00000000">
        <w:rPr>
          <w:rFonts w:ascii="Calibri" w:cs="Calibri" w:eastAsia="Calibri" w:hAnsi="Calibri"/>
          <w:i w:val="1"/>
          <w:rtl w:val="0"/>
        </w:rPr>
        <w:t xml:space="preserve">The</w:t>
      </w:r>
    </w:p>
    <w:p w:rsidR="00000000" w:rsidDel="00000000" w:rsidP="00000000" w:rsidRDefault="00000000" w:rsidRPr="00000000" w14:paraId="0000005B">
      <w:pPr>
        <w:ind w:firstLine="720"/>
        <w:rPr>
          <w:rFonts w:ascii="Calibri" w:cs="Calibri" w:eastAsia="Calibri" w:hAnsi="Calibri"/>
        </w:rPr>
      </w:pPr>
      <w:r w:rsidDel="00000000" w:rsidR="00000000" w:rsidRPr="00000000">
        <w:rPr>
          <w:rFonts w:ascii="Calibri" w:cs="Calibri" w:eastAsia="Calibri" w:hAnsi="Calibri"/>
          <w:i w:val="1"/>
          <w:rtl w:val="0"/>
        </w:rPr>
        <w:t xml:space="preserve">Clearing House, 93</w:t>
      </w:r>
      <w:r w:rsidDel="00000000" w:rsidR="00000000" w:rsidRPr="00000000">
        <w:rPr>
          <w:rFonts w:ascii="Calibri" w:cs="Calibri" w:eastAsia="Calibri" w:hAnsi="Calibri"/>
          <w:rtl w:val="0"/>
        </w:rPr>
        <w:t xml:space="preserve">(3), 135-141. </w:t>
      </w:r>
    </w:p>
    <w:p w:rsidR="00000000" w:rsidDel="00000000" w:rsidP="00000000" w:rsidRDefault="00000000" w:rsidRPr="00000000" w14:paraId="0000005C">
      <w:pPr>
        <w:rPr>
          <w:rFonts w:ascii="Calibri" w:cs="Calibri" w:eastAsia="Calibri" w:hAnsi="Calibri"/>
          <w:i w:val="1"/>
        </w:rPr>
      </w:pPr>
      <w:r w:rsidDel="00000000" w:rsidR="00000000" w:rsidRPr="00000000">
        <w:rPr>
          <w:rFonts w:ascii="Calibri" w:cs="Calibri" w:eastAsia="Calibri" w:hAnsi="Calibri"/>
          <w:rtl w:val="0"/>
        </w:rPr>
        <w:t xml:space="preserve">Mundy, K., Manion, C., Proulx, K., Feitosa de Britto, T. (2020). </w:t>
      </w:r>
      <w:r w:rsidDel="00000000" w:rsidR="00000000" w:rsidRPr="00000000">
        <w:rPr>
          <w:rFonts w:ascii="Calibri" w:cs="Calibri" w:eastAsia="Calibri" w:hAnsi="Calibri"/>
          <w:i w:val="1"/>
          <w:rtl w:val="0"/>
        </w:rPr>
        <w:t xml:space="preserve">Teacher leadership in developing</w:t>
      </w:r>
    </w:p>
    <w:p w:rsidR="00000000" w:rsidDel="00000000" w:rsidP="00000000" w:rsidRDefault="00000000" w:rsidRPr="00000000" w14:paraId="0000005D">
      <w:pPr>
        <w:ind w:firstLine="720"/>
        <w:rPr>
          <w:rFonts w:ascii="Calibri" w:cs="Calibri" w:eastAsia="Calibri" w:hAnsi="Calibri"/>
        </w:rPr>
      </w:pPr>
      <w:r w:rsidDel="00000000" w:rsidR="00000000" w:rsidRPr="00000000">
        <w:rPr>
          <w:rFonts w:ascii="Calibri" w:cs="Calibri" w:eastAsia="Calibri" w:hAnsi="Calibri"/>
          <w:i w:val="1"/>
          <w:rtl w:val="0"/>
        </w:rPr>
        <w:t xml:space="preserve">crisis education responses in Africa and Latin America. </w:t>
      </w:r>
      <w:r w:rsidDel="00000000" w:rsidR="00000000" w:rsidRPr="00000000">
        <w:rPr>
          <w:rFonts w:ascii="Calibri" w:cs="Calibri" w:eastAsia="Calibri" w:hAnsi="Calibri"/>
          <w:rtl w:val="0"/>
        </w:rPr>
        <w:t xml:space="preserve">Paris, France: UNESCO. </w:t>
      </w:r>
    </w:p>
    <w:p w:rsidR="00000000" w:rsidDel="00000000" w:rsidP="00000000" w:rsidRDefault="00000000" w:rsidRPr="00000000" w14:paraId="0000005E">
      <w:pPr>
        <w:rPr>
          <w:rFonts w:ascii="Calibri" w:cs="Calibri" w:eastAsia="Calibri" w:hAnsi="Calibri"/>
          <w:i w:val="1"/>
        </w:rPr>
      </w:pPr>
      <w:r w:rsidDel="00000000" w:rsidR="00000000" w:rsidRPr="00000000">
        <w:rPr>
          <w:rFonts w:ascii="Calibri" w:cs="Calibri" w:eastAsia="Calibri" w:hAnsi="Calibri"/>
          <w:rtl w:val="0"/>
        </w:rPr>
        <w:t xml:space="preserve">Sayed, Y., &amp; Bulgrin, E. (2020). </w:t>
      </w:r>
      <w:r w:rsidDel="00000000" w:rsidR="00000000" w:rsidRPr="00000000">
        <w:rPr>
          <w:rFonts w:ascii="Calibri" w:cs="Calibri" w:eastAsia="Calibri" w:hAnsi="Calibri"/>
          <w:i w:val="1"/>
          <w:rtl w:val="0"/>
        </w:rPr>
        <w:t xml:space="preserve">Teacher professional development and curriculum: Enhancing</w:t>
      </w:r>
    </w:p>
    <w:p w:rsidR="00000000" w:rsidDel="00000000" w:rsidP="00000000" w:rsidRDefault="00000000" w:rsidRPr="00000000" w14:paraId="0000005F">
      <w:pPr>
        <w:ind w:left="720" w:firstLine="0"/>
        <w:rPr>
          <w:rFonts w:ascii="Calibri" w:cs="Calibri" w:eastAsia="Calibri" w:hAnsi="Calibri"/>
        </w:rPr>
      </w:pPr>
      <w:r w:rsidDel="00000000" w:rsidR="00000000" w:rsidRPr="00000000">
        <w:rPr>
          <w:rFonts w:ascii="Calibri" w:cs="Calibri" w:eastAsia="Calibri" w:hAnsi="Calibri"/>
          <w:i w:val="1"/>
          <w:rtl w:val="0"/>
        </w:rPr>
        <w:t xml:space="preserve">teacher professionalism in Africa</w:t>
      </w:r>
      <w:r w:rsidDel="00000000" w:rsidR="00000000" w:rsidRPr="00000000">
        <w:rPr>
          <w:rFonts w:ascii="Calibri" w:cs="Calibri" w:eastAsia="Calibri" w:hAnsi="Calibri"/>
          <w:rtl w:val="0"/>
        </w:rPr>
        <w:t xml:space="preserve">. Education International. </w:t>
      </w:r>
      <w:hyperlink r:id="rId17">
        <w:r w:rsidDel="00000000" w:rsidR="00000000" w:rsidRPr="00000000">
          <w:rPr>
            <w:rFonts w:ascii="Calibri" w:cs="Calibri" w:eastAsia="Calibri" w:hAnsi="Calibri"/>
            <w:color w:val="0000ff"/>
            <w:u w:val="single"/>
            <w:rtl w:val="0"/>
          </w:rPr>
          <w:t xml:space="preserve">http://sro.sussex.ac.uk/id/eprint/94519/1/2020_EI-OSF_Research_EnhancingTeachingProfessionAfrica_ENG_FINAL.pdf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60">
      <w:pPr>
        <w:rPr>
          <w:rFonts w:ascii="Calibri" w:cs="Calibri" w:eastAsia="Calibri" w:hAnsi="Calibri"/>
          <w:color w:val="000000"/>
        </w:rPr>
      </w:pPr>
      <w:r w:rsidDel="00000000" w:rsidR="00000000" w:rsidRPr="00000000">
        <w:rPr>
          <w:rFonts w:ascii="Calibri" w:cs="Calibri" w:eastAsia="Calibri" w:hAnsi="Calibri"/>
          <w:color w:val="000000"/>
          <w:rtl w:val="0"/>
        </w:rPr>
        <w:t xml:space="preserve">Symeonidis, V. (2015). </w:t>
      </w:r>
      <w:r w:rsidDel="00000000" w:rsidR="00000000" w:rsidRPr="00000000">
        <w:rPr>
          <w:rFonts w:ascii="Calibri" w:cs="Calibri" w:eastAsia="Calibri" w:hAnsi="Calibri"/>
          <w:i w:val="1"/>
          <w:color w:val="000000"/>
          <w:rtl w:val="0"/>
        </w:rPr>
        <w:t xml:space="preserve">The status of teachers and the teaching profession</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A study of education</w:t>
      </w:r>
      <w:r w:rsidDel="00000000" w:rsidR="00000000" w:rsidRPr="00000000">
        <w:rPr>
          <w:rtl w:val="0"/>
        </w:rPr>
      </w:r>
    </w:p>
    <w:p w:rsidR="00000000" w:rsidDel="00000000" w:rsidP="00000000" w:rsidRDefault="00000000" w:rsidRPr="00000000" w14:paraId="00000061">
      <w:pPr>
        <w:ind w:left="720" w:firstLine="0"/>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unions’ perspectives</w:t>
      </w:r>
      <w:r w:rsidDel="00000000" w:rsidR="00000000" w:rsidRPr="00000000">
        <w:rPr>
          <w:rFonts w:ascii="Calibri" w:cs="Calibri" w:eastAsia="Calibri" w:hAnsi="Calibri"/>
          <w:color w:val="000000"/>
          <w:rtl w:val="0"/>
        </w:rPr>
        <w:t xml:space="preserve">. Brussels, Belgium: Education International. </w:t>
      </w:r>
      <w:hyperlink r:id="rId18">
        <w:r w:rsidDel="00000000" w:rsidR="00000000" w:rsidRPr="00000000">
          <w:rPr>
            <w:rFonts w:ascii="Calibri" w:cs="Calibri" w:eastAsia="Calibri" w:hAnsi="Calibri"/>
            <w:color w:val="1155cc"/>
            <w:u w:val="single"/>
            <w:rtl w:val="0"/>
          </w:rPr>
          <w:t xml:space="preserve">https://download.ei-ie.org/Docs/WebDepot/The%20Status%20of%20Teachers%20and%20the%20Teaching%20Profession.pdf</w:t>
        </w:r>
      </w:hyperlink>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Teacher Task Force. (2020, September 7). How countries are helping teachers pass the COVID</w:t>
      </w:r>
    </w:p>
    <w:p w:rsidR="00000000" w:rsidDel="00000000" w:rsidP="00000000" w:rsidRDefault="00000000" w:rsidRPr="00000000" w14:paraId="00000063">
      <w:pPr>
        <w:ind w:left="720" w:firstLine="0"/>
        <w:rPr>
          <w:rFonts w:ascii="Calibri" w:cs="Calibri" w:eastAsia="Calibri" w:hAnsi="Calibri"/>
        </w:rPr>
      </w:pPr>
      <w:r w:rsidDel="00000000" w:rsidR="00000000" w:rsidRPr="00000000">
        <w:rPr>
          <w:rFonts w:ascii="Calibri" w:cs="Calibri" w:eastAsia="Calibri" w:hAnsi="Calibri"/>
          <w:rtl w:val="0"/>
        </w:rPr>
        <w:t xml:space="preserve">19 test. </w:t>
      </w:r>
      <w:r w:rsidDel="00000000" w:rsidR="00000000" w:rsidRPr="00000000">
        <w:rPr>
          <w:rFonts w:ascii="Calibri" w:cs="Calibri" w:eastAsia="Calibri" w:hAnsi="Calibri"/>
          <w:i w:val="1"/>
          <w:rtl w:val="0"/>
        </w:rPr>
        <w:t xml:space="preserve">TTF Blog</w:t>
      </w:r>
      <w:r w:rsidDel="00000000" w:rsidR="00000000" w:rsidRPr="00000000">
        <w:rPr>
          <w:rFonts w:ascii="Calibri" w:cs="Calibri" w:eastAsia="Calibri" w:hAnsi="Calibri"/>
          <w:rtl w:val="0"/>
        </w:rPr>
        <w:t xml:space="preserve">. </w:t>
      </w:r>
      <w:hyperlink r:id="rId19">
        <w:r w:rsidDel="00000000" w:rsidR="00000000" w:rsidRPr="00000000">
          <w:rPr>
            <w:rFonts w:ascii="Calibri" w:cs="Calibri" w:eastAsia="Calibri" w:hAnsi="Calibri"/>
            <w:color w:val="0000ff"/>
            <w:u w:val="single"/>
            <w:rtl w:val="0"/>
          </w:rPr>
          <w:t xml:space="preserve">https://teachertaskforce.org/how-countries-are-helping-teachers-pass-covid-19-test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64">
      <w:pPr>
        <w:rPr>
          <w:rFonts w:ascii="Calibri" w:cs="Calibri" w:eastAsia="Calibri" w:hAnsi="Calibri"/>
          <w:i w:val="1"/>
        </w:rPr>
      </w:pPr>
      <w:r w:rsidDel="00000000" w:rsidR="00000000" w:rsidRPr="00000000">
        <w:rPr>
          <w:rFonts w:ascii="Calibri" w:cs="Calibri" w:eastAsia="Calibri" w:hAnsi="Calibri"/>
          <w:rtl w:val="0"/>
        </w:rPr>
        <w:t xml:space="preserve">Tembon, M. M. and Fort, L. (2013). </w:t>
      </w:r>
      <w:r w:rsidDel="00000000" w:rsidR="00000000" w:rsidRPr="00000000">
        <w:rPr>
          <w:rFonts w:ascii="Calibri" w:cs="Calibri" w:eastAsia="Calibri" w:hAnsi="Calibri"/>
          <w:i w:val="1"/>
          <w:rtl w:val="0"/>
        </w:rPr>
        <w:t xml:space="preserve">Girls’ education in the 21</w:t>
      </w:r>
      <w:r w:rsidDel="00000000" w:rsidR="00000000" w:rsidRPr="00000000">
        <w:rPr>
          <w:rFonts w:ascii="Calibri" w:cs="Calibri" w:eastAsia="Calibri" w:hAnsi="Calibri"/>
          <w:i w:val="1"/>
          <w:vertAlign w:val="superscript"/>
          <w:rtl w:val="0"/>
        </w:rPr>
        <w:t xml:space="preserve">st</w:t>
      </w:r>
      <w:r w:rsidDel="00000000" w:rsidR="00000000" w:rsidRPr="00000000">
        <w:rPr>
          <w:rFonts w:ascii="Calibri" w:cs="Calibri" w:eastAsia="Calibri" w:hAnsi="Calibri"/>
          <w:i w:val="1"/>
          <w:rtl w:val="0"/>
        </w:rPr>
        <w:t xml:space="preserve"> century: gender equality,</w:t>
      </w:r>
    </w:p>
    <w:p w:rsidR="00000000" w:rsidDel="00000000" w:rsidP="00000000" w:rsidRDefault="00000000" w:rsidRPr="00000000" w14:paraId="00000065">
      <w:pPr>
        <w:ind w:firstLine="720"/>
        <w:rPr>
          <w:rFonts w:ascii="Calibri" w:cs="Calibri" w:eastAsia="Calibri" w:hAnsi="Calibri"/>
        </w:rPr>
      </w:pPr>
      <w:r w:rsidDel="00000000" w:rsidR="00000000" w:rsidRPr="00000000">
        <w:rPr>
          <w:rFonts w:ascii="Calibri" w:cs="Calibri" w:eastAsia="Calibri" w:hAnsi="Calibri"/>
          <w:i w:val="1"/>
          <w:rtl w:val="0"/>
        </w:rPr>
        <w:t xml:space="preserve">empowerment and growth</w:t>
      </w:r>
      <w:r w:rsidDel="00000000" w:rsidR="00000000" w:rsidRPr="00000000">
        <w:rPr>
          <w:rFonts w:ascii="Calibri" w:cs="Calibri" w:eastAsia="Calibri" w:hAnsi="Calibri"/>
          <w:rtl w:val="0"/>
        </w:rPr>
        <w:t xml:space="preserve">. Washington, DC: World Bank. </w:t>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Tienken, C. H. (2020). The not so subtle inequity of remote learning. </w:t>
      </w:r>
      <w:r w:rsidDel="00000000" w:rsidR="00000000" w:rsidRPr="00000000">
        <w:rPr>
          <w:rFonts w:ascii="Calibri" w:cs="Calibri" w:eastAsia="Calibri" w:hAnsi="Calibri"/>
          <w:i w:val="1"/>
          <w:rtl w:val="0"/>
        </w:rPr>
        <w:t xml:space="preserve">Kappa Delta Pi, 56</w:t>
      </w:r>
      <w:r w:rsidDel="00000000" w:rsidR="00000000" w:rsidRPr="00000000">
        <w:rPr>
          <w:rFonts w:ascii="Calibri" w:cs="Calibri" w:eastAsia="Calibri" w:hAnsi="Calibri"/>
          <w:rtl w:val="0"/>
        </w:rPr>
        <w:t xml:space="preserve">(4), 151-</w:t>
      </w:r>
    </w:p>
    <w:p w:rsidR="00000000" w:rsidDel="00000000" w:rsidP="00000000" w:rsidRDefault="00000000" w:rsidRPr="00000000" w14:paraId="00000067">
      <w:pPr>
        <w:ind w:firstLine="720"/>
        <w:rPr>
          <w:rFonts w:ascii="Calibri" w:cs="Calibri" w:eastAsia="Calibri" w:hAnsi="Calibri"/>
        </w:rPr>
      </w:pPr>
      <w:r w:rsidDel="00000000" w:rsidR="00000000" w:rsidRPr="00000000">
        <w:rPr>
          <w:rFonts w:ascii="Calibri" w:cs="Calibri" w:eastAsia="Calibri" w:hAnsi="Calibri"/>
          <w:rtl w:val="0"/>
        </w:rPr>
        <w:t xml:space="preserve">153. </w:t>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Toquero, C. M. D. (2020). Inclusion of people with disabilities amid COVID-19: laws,</w:t>
      </w:r>
    </w:p>
    <w:p w:rsidR="00000000" w:rsidDel="00000000" w:rsidP="00000000" w:rsidRDefault="00000000" w:rsidRPr="00000000" w14:paraId="00000069">
      <w:pPr>
        <w:ind w:left="720" w:firstLine="0"/>
        <w:rPr>
          <w:rFonts w:ascii="Calibri" w:cs="Calibri" w:eastAsia="Calibri" w:hAnsi="Calibri"/>
        </w:rPr>
      </w:pPr>
      <w:r w:rsidDel="00000000" w:rsidR="00000000" w:rsidRPr="00000000">
        <w:rPr>
          <w:rFonts w:ascii="Calibri" w:cs="Calibri" w:eastAsia="Calibri" w:hAnsi="Calibri"/>
          <w:rtl w:val="0"/>
        </w:rPr>
        <w:t xml:space="preserve">interventions and recommendations. </w:t>
      </w:r>
      <w:r w:rsidDel="00000000" w:rsidR="00000000" w:rsidRPr="00000000">
        <w:rPr>
          <w:rFonts w:ascii="Calibri" w:cs="Calibri" w:eastAsia="Calibri" w:hAnsi="Calibri"/>
          <w:i w:val="1"/>
          <w:rtl w:val="0"/>
        </w:rPr>
        <w:t xml:space="preserve">Multidisciplinary Journal of Education Research, 10</w:t>
      </w:r>
      <w:r w:rsidDel="00000000" w:rsidR="00000000" w:rsidRPr="00000000">
        <w:rPr>
          <w:rFonts w:ascii="Calibri" w:cs="Calibri" w:eastAsia="Calibri" w:hAnsi="Calibri"/>
          <w:rtl w:val="0"/>
        </w:rPr>
        <w:t xml:space="preserve">(2), 158-177. </w:t>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UNESCO. (2018). </w:t>
      </w:r>
      <w:r w:rsidDel="00000000" w:rsidR="00000000" w:rsidRPr="00000000">
        <w:rPr>
          <w:rFonts w:ascii="Calibri" w:cs="Calibri" w:eastAsia="Calibri" w:hAnsi="Calibri"/>
          <w:i w:val="1"/>
          <w:rtl w:val="0"/>
        </w:rPr>
        <w:t xml:space="preserve">Improving teacher support and participation in Local Education Groups</w:t>
      </w:r>
      <w:r w:rsidDel="00000000" w:rsidR="00000000" w:rsidRPr="00000000">
        <w:rPr>
          <w:rFonts w:ascii="Calibri" w:cs="Calibri" w:eastAsia="Calibri" w:hAnsi="Calibri"/>
          <w:rtl w:val="0"/>
        </w:rPr>
        <w:t xml:space="preserve">.</w:t>
      </w:r>
    </w:p>
    <w:p w:rsidR="00000000" w:rsidDel="00000000" w:rsidP="00000000" w:rsidRDefault="00000000" w:rsidRPr="00000000" w14:paraId="0000006B">
      <w:pPr>
        <w:ind w:left="720" w:firstLine="0"/>
        <w:rPr>
          <w:rFonts w:ascii="Calibri" w:cs="Calibri" w:eastAsia="Calibri" w:hAnsi="Calibri"/>
        </w:rPr>
      </w:pPr>
      <w:r w:rsidDel="00000000" w:rsidR="00000000" w:rsidRPr="00000000">
        <w:rPr>
          <w:rFonts w:ascii="Calibri" w:cs="Calibri" w:eastAsia="Calibri" w:hAnsi="Calibri"/>
          <w:rtl w:val="0"/>
        </w:rPr>
        <w:t xml:space="preserve">UNESCO. </w:t>
      </w:r>
      <w:hyperlink r:id="rId20">
        <w:r w:rsidDel="00000000" w:rsidR="00000000" w:rsidRPr="00000000">
          <w:rPr>
            <w:rFonts w:ascii="Calibri" w:cs="Calibri" w:eastAsia="Calibri" w:hAnsi="Calibri"/>
            <w:color w:val="0000ff"/>
            <w:u w:val="single"/>
            <w:rtl w:val="0"/>
          </w:rPr>
          <w:t xml:space="preserve">https://www.globalpartnership.org/sites/default/files/2018-07-gpe-improving-teacher-support-in-legs.pdf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6C">
      <w:pPr>
        <w:rPr>
          <w:rFonts w:ascii="Calibri" w:cs="Calibri" w:eastAsia="Calibri" w:hAnsi="Calibri"/>
          <w:i w:val="1"/>
        </w:rPr>
      </w:pPr>
      <w:r w:rsidDel="00000000" w:rsidR="00000000" w:rsidRPr="00000000">
        <w:rPr>
          <w:rFonts w:ascii="Calibri" w:cs="Calibri" w:eastAsia="Calibri" w:hAnsi="Calibri"/>
          <w:rtl w:val="0"/>
        </w:rPr>
        <w:t xml:space="preserve">Warren, H., and Wagner, E. (2020). </w:t>
      </w:r>
      <w:r w:rsidDel="00000000" w:rsidR="00000000" w:rsidRPr="00000000">
        <w:rPr>
          <w:rFonts w:ascii="Calibri" w:cs="Calibri" w:eastAsia="Calibri" w:hAnsi="Calibri"/>
          <w:i w:val="1"/>
          <w:rtl w:val="0"/>
        </w:rPr>
        <w:t xml:space="preserve">Save our education: protect every child’s right to learn in the</w:t>
      </w:r>
    </w:p>
    <w:p w:rsidR="00000000" w:rsidDel="00000000" w:rsidP="00000000" w:rsidRDefault="00000000" w:rsidRPr="00000000" w14:paraId="0000006D">
      <w:pPr>
        <w:ind w:left="720" w:firstLine="0"/>
        <w:rPr>
          <w:rFonts w:ascii="Calibri" w:cs="Calibri" w:eastAsia="Calibri" w:hAnsi="Calibri"/>
        </w:rPr>
      </w:pPr>
      <w:r w:rsidDel="00000000" w:rsidR="00000000" w:rsidRPr="00000000">
        <w:rPr>
          <w:rFonts w:ascii="Calibri" w:cs="Calibri" w:eastAsia="Calibri" w:hAnsi="Calibri"/>
          <w:i w:val="1"/>
          <w:rtl w:val="0"/>
        </w:rPr>
        <w:t xml:space="preserve">COVID-19 response and recovery</w:t>
      </w:r>
      <w:r w:rsidDel="00000000" w:rsidR="00000000" w:rsidRPr="00000000">
        <w:rPr>
          <w:rFonts w:ascii="Calibri" w:cs="Calibri" w:eastAsia="Calibri" w:hAnsi="Calibri"/>
          <w:rtl w:val="0"/>
        </w:rPr>
        <w:t xml:space="preserve">. London, UK: Save the Children. </w:t>
      </w:r>
      <w:hyperlink r:id="rId21">
        <w:r w:rsidDel="00000000" w:rsidR="00000000" w:rsidRPr="00000000">
          <w:rPr>
            <w:rFonts w:ascii="Calibri" w:cs="Calibri" w:eastAsia="Calibri" w:hAnsi="Calibri"/>
            <w:color w:val="0000ff"/>
            <w:u w:val="single"/>
            <w:rtl w:val="0"/>
          </w:rPr>
          <w:t xml:space="preserve">https://www.savethechildren.net/save-our-education-report/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Wodon, Q., Montenegro, C., Nguyen, H., Onagoruwa, A. (2018). Missed opportunities: the high</w:t>
      </w:r>
    </w:p>
    <w:p w:rsidR="00000000" w:rsidDel="00000000" w:rsidP="00000000" w:rsidRDefault="00000000" w:rsidRPr="00000000" w14:paraId="0000006F">
      <w:pPr>
        <w:ind w:left="720" w:firstLine="0"/>
        <w:rPr>
          <w:rFonts w:ascii="Calibri" w:cs="Calibri" w:eastAsia="Calibri" w:hAnsi="Calibri"/>
        </w:rPr>
      </w:pPr>
      <w:r w:rsidDel="00000000" w:rsidR="00000000" w:rsidRPr="00000000">
        <w:rPr>
          <w:rFonts w:ascii="Calibri" w:cs="Calibri" w:eastAsia="Calibri" w:hAnsi="Calibri"/>
          <w:rtl w:val="0"/>
        </w:rPr>
        <w:t xml:space="preserve">cost of not educating girls. Washington, DC: World Bank. </w:t>
      </w:r>
      <w:hyperlink r:id="rId22">
        <w:r w:rsidDel="00000000" w:rsidR="00000000" w:rsidRPr="00000000">
          <w:rPr>
            <w:rFonts w:ascii="Calibri" w:cs="Calibri" w:eastAsia="Calibri" w:hAnsi="Calibri"/>
            <w:color w:val="0000ff"/>
            <w:u w:val="single"/>
            <w:rtl w:val="0"/>
          </w:rPr>
          <w:t xml:space="preserve">http://www.ungei.org/resources/files/Missed-opportunities-high-cost-of-not-educating-girls-World-Bank-July-2018.pdf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Zuilkowski, S. S., Henning, M., Zulu, J. M., Matafwali, B. (2019). “Once they fall pregnant, they</w:t>
      </w:r>
    </w:p>
    <w:p w:rsidR="00000000" w:rsidDel="00000000" w:rsidP="00000000" w:rsidRDefault="00000000" w:rsidRPr="00000000" w14:paraId="00000071">
      <w:pPr>
        <w:ind w:left="720" w:firstLine="0"/>
        <w:rPr>
          <w:rFonts w:ascii="Calibri" w:cs="Calibri" w:eastAsia="Calibri" w:hAnsi="Calibri"/>
        </w:rPr>
      </w:pPr>
      <w:r w:rsidDel="00000000" w:rsidR="00000000" w:rsidRPr="00000000">
        <w:rPr>
          <w:rFonts w:ascii="Calibri" w:cs="Calibri" w:eastAsia="Calibri" w:hAnsi="Calibri"/>
          <w:rtl w:val="0"/>
        </w:rPr>
        <w:t xml:space="preserve">don’t come back”: teacher perspectives on Zambia’s school re-entry policy for adolescent mothers. </w:t>
      </w:r>
      <w:r w:rsidDel="00000000" w:rsidR="00000000" w:rsidRPr="00000000">
        <w:rPr>
          <w:rFonts w:ascii="Calibri" w:cs="Calibri" w:eastAsia="Calibri" w:hAnsi="Calibri"/>
          <w:i w:val="1"/>
          <w:rtl w:val="0"/>
        </w:rPr>
        <w:t xml:space="preserve">Teaching and Teacher Education, 86</w:t>
      </w:r>
      <w:r w:rsidDel="00000000" w:rsidR="00000000" w:rsidRPr="00000000">
        <w:rPr>
          <w:rFonts w:ascii="Calibri" w:cs="Calibri" w:eastAsia="Calibri" w:hAnsi="Calibri"/>
          <w:rtl w:val="0"/>
        </w:rPr>
        <w:t xml:space="preserve">, 1-8. </w:t>
      </w:r>
    </w:p>
    <w:p w:rsidR="00000000" w:rsidDel="00000000" w:rsidP="00000000" w:rsidRDefault="00000000" w:rsidRPr="00000000" w14:paraId="0000007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sectPr>
      <w:headerReference r:id="rId23"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 example, in Malawi, the government called for a national lockdown, but it was contested in the courts and ultimately, while schools shut down, there was not a countrywide lockdown.</w:t>
      </w:r>
    </w:p>
  </w:footnote>
  <w:footnote w:id="1">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https://en.unesco.org/covid19/educationresponse</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https://plan-international.org/education/bridging-the-digital-divide</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3">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https://www.hrw.org/report/2018/06/14/leave-no-girl-behind-africa/discrimination-education-against-pregnant-girls-and</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Conversation (October 15, 2020):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https://theconversation.com/to-build-back-better-after-covid-19-we-must-support-parents-146978</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Manuscript # 07</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85ECF"/>
    <w:rPr>
      <w:rFonts w:ascii="Times New Roman" w:cs="Times New Roman" w:eastAsia="Times New Roman" w:hAnsi="Times New Roman"/>
    </w:rPr>
  </w:style>
  <w:style w:type="paragraph" w:styleId="Heading1">
    <w:name w:val="heading 1"/>
    <w:basedOn w:val="Normal"/>
    <w:link w:val="Heading1Char"/>
    <w:uiPriority w:val="9"/>
    <w:qFormat w:val="1"/>
    <w:rsid w:val="00B85ECF"/>
    <w:pPr>
      <w:spacing w:after="100" w:afterAutospacing="1" w:before="100" w:beforeAutospacing="1"/>
      <w:outlineLvl w:val="0"/>
    </w:pPr>
    <w:rPr>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317E6"/>
    <w:rPr>
      <w:rFonts w:eastAsiaTheme="minorHAnsi"/>
      <w:sz w:val="18"/>
      <w:szCs w:val="18"/>
      <w:lang w:val="en-US"/>
    </w:rPr>
  </w:style>
  <w:style w:type="character" w:styleId="BalloonTextChar" w:customStyle="1">
    <w:name w:val="Balloon Text Char"/>
    <w:basedOn w:val="DefaultParagraphFont"/>
    <w:link w:val="BalloonText"/>
    <w:uiPriority w:val="99"/>
    <w:semiHidden w:val="1"/>
    <w:rsid w:val="002317E6"/>
    <w:rPr>
      <w:rFonts w:ascii="Times New Roman" w:cs="Times New Roman" w:hAnsi="Times New Roman"/>
      <w:sz w:val="18"/>
      <w:szCs w:val="18"/>
      <w:lang w:val="en-US"/>
    </w:rPr>
  </w:style>
  <w:style w:type="paragraph" w:styleId="ListParagraph">
    <w:name w:val="List Paragraph"/>
    <w:basedOn w:val="Normal"/>
    <w:uiPriority w:val="34"/>
    <w:qFormat w:val="1"/>
    <w:rsid w:val="002317E6"/>
    <w:pPr>
      <w:ind w:left="720"/>
      <w:contextualSpacing w:val="1"/>
    </w:pPr>
    <w:rPr>
      <w:rFonts w:asciiTheme="minorHAnsi" w:cstheme="minorBidi" w:eastAsiaTheme="minorHAnsi" w:hAnsiTheme="minorHAnsi"/>
      <w:lang w:val="en-US"/>
    </w:rPr>
  </w:style>
  <w:style w:type="character" w:styleId="apple-converted-space" w:customStyle="1">
    <w:name w:val="apple-converted-space"/>
    <w:basedOn w:val="DefaultParagraphFont"/>
    <w:rsid w:val="002317E6"/>
  </w:style>
  <w:style w:type="character" w:styleId="Hyperlink">
    <w:name w:val="Hyperlink"/>
    <w:basedOn w:val="DefaultParagraphFont"/>
    <w:uiPriority w:val="99"/>
    <w:unhideWhenUsed w:val="1"/>
    <w:rsid w:val="002317E6"/>
    <w:rPr>
      <w:color w:val="0000ff"/>
      <w:u w:val="single"/>
    </w:rPr>
  </w:style>
  <w:style w:type="character" w:styleId="UnresolvedMention">
    <w:name w:val="Unresolved Mention"/>
    <w:basedOn w:val="DefaultParagraphFont"/>
    <w:uiPriority w:val="99"/>
    <w:rsid w:val="002317E6"/>
    <w:rPr>
      <w:color w:val="605e5c"/>
      <w:shd w:color="auto" w:fill="e1dfdd" w:val="clear"/>
    </w:rPr>
  </w:style>
  <w:style w:type="paragraph" w:styleId="FootnoteText">
    <w:name w:val="footnote text"/>
    <w:basedOn w:val="Normal"/>
    <w:link w:val="FootnoteTextChar"/>
    <w:uiPriority w:val="99"/>
    <w:semiHidden w:val="1"/>
    <w:unhideWhenUsed w:val="1"/>
    <w:rsid w:val="002317E6"/>
    <w:rPr>
      <w:rFonts w:asciiTheme="minorHAnsi" w:cstheme="minorBidi" w:eastAsiaTheme="minorHAnsi" w:hAnsiTheme="minorHAnsi"/>
      <w:sz w:val="20"/>
      <w:szCs w:val="20"/>
      <w:lang w:val="en-US"/>
    </w:rPr>
  </w:style>
  <w:style w:type="character" w:styleId="FootnoteTextChar" w:customStyle="1">
    <w:name w:val="Footnote Text Char"/>
    <w:basedOn w:val="DefaultParagraphFont"/>
    <w:link w:val="FootnoteText"/>
    <w:uiPriority w:val="99"/>
    <w:semiHidden w:val="1"/>
    <w:rsid w:val="002317E6"/>
    <w:rPr>
      <w:sz w:val="20"/>
      <w:szCs w:val="20"/>
      <w:lang w:val="en-US"/>
    </w:rPr>
  </w:style>
  <w:style w:type="character" w:styleId="FootnoteReference">
    <w:name w:val="footnote reference"/>
    <w:basedOn w:val="DefaultParagraphFont"/>
    <w:uiPriority w:val="99"/>
    <w:semiHidden w:val="1"/>
    <w:unhideWhenUsed w:val="1"/>
    <w:rsid w:val="002317E6"/>
    <w:rPr>
      <w:vertAlign w:val="superscript"/>
    </w:rPr>
  </w:style>
  <w:style w:type="paragraph" w:styleId="NormalWeb">
    <w:name w:val="Normal (Web)"/>
    <w:basedOn w:val="Normal"/>
    <w:uiPriority w:val="99"/>
    <w:unhideWhenUsed w:val="1"/>
    <w:rsid w:val="002317E6"/>
    <w:pPr>
      <w:spacing w:after="100" w:afterAutospacing="1" w:before="100" w:beforeAutospacing="1"/>
    </w:pPr>
  </w:style>
  <w:style w:type="character" w:styleId="FollowedHyperlink">
    <w:name w:val="FollowedHyperlink"/>
    <w:basedOn w:val="DefaultParagraphFont"/>
    <w:uiPriority w:val="99"/>
    <w:semiHidden w:val="1"/>
    <w:unhideWhenUsed w:val="1"/>
    <w:rsid w:val="002317E6"/>
    <w:rPr>
      <w:color w:val="954f72" w:themeColor="followedHyperlink"/>
      <w:u w:val="single"/>
    </w:rPr>
  </w:style>
  <w:style w:type="character" w:styleId="hitlisttitle" w:customStyle="1">
    <w:name w:val="hitlist_title"/>
    <w:basedOn w:val="DefaultParagraphFont"/>
    <w:rsid w:val="002317E6"/>
  </w:style>
  <w:style w:type="character" w:styleId="Heading1Char" w:customStyle="1">
    <w:name w:val="Heading 1 Char"/>
    <w:basedOn w:val="DefaultParagraphFont"/>
    <w:link w:val="Heading1"/>
    <w:uiPriority w:val="9"/>
    <w:rsid w:val="00B85ECF"/>
    <w:rPr>
      <w:rFonts w:ascii="Times New Roman" w:cs="Times New Roman" w:eastAsia="Times New Roman" w:hAnsi="Times New Roman"/>
      <w:b w:val="1"/>
      <w:bCs w:val="1"/>
      <w:kern w:val="36"/>
      <w:sz w:val="48"/>
      <w:szCs w:val="48"/>
    </w:rPr>
  </w:style>
  <w:style w:type="character" w:styleId="Emphasis">
    <w:name w:val="Emphasis"/>
    <w:basedOn w:val="DefaultParagraphFont"/>
    <w:uiPriority w:val="20"/>
    <w:qFormat w:val="1"/>
    <w:rsid w:val="00B50329"/>
    <w:rPr>
      <w:i w:val="1"/>
      <w:iCs w:val="1"/>
    </w:rPr>
  </w:style>
  <w:style w:type="paragraph" w:styleId="Header">
    <w:name w:val="header"/>
    <w:basedOn w:val="Normal"/>
    <w:link w:val="HeaderChar"/>
    <w:uiPriority w:val="99"/>
    <w:unhideWhenUsed w:val="1"/>
    <w:rsid w:val="009D68D0"/>
    <w:pPr>
      <w:tabs>
        <w:tab w:val="center" w:pos="4680"/>
        <w:tab w:val="right" w:pos="9360"/>
      </w:tabs>
    </w:pPr>
  </w:style>
  <w:style w:type="character" w:styleId="HeaderChar" w:customStyle="1">
    <w:name w:val="Header Char"/>
    <w:basedOn w:val="DefaultParagraphFont"/>
    <w:link w:val="Header"/>
    <w:uiPriority w:val="99"/>
    <w:rsid w:val="009D68D0"/>
    <w:rPr>
      <w:rFonts w:ascii="Times New Roman" w:cs="Times New Roman" w:eastAsia="Times New Roman" w:hAnsi="Times New Roman"/>
    </w:rPr>
  </w:style>
  <w:style w:type="paragraph" w:styleId="Footer">
    <w:name w:val="footer"/>
    <w:basedOn w:val="Normal"/>
    <w:link w:val="FooterChar"/>
    <w:uiPriority w:val="99"/>
    <w:unhideWhenUsed w:val="1"/>
    <w:rsid w:val="009D68D0"/>
    <w:pPr>
      <w:tabs>
        <w:tab w:val="center" w:pos="4680"/>
        <w:tab w:val="right" w:pos="9360"/>
      </w:tabs>
    </w:pPr>
  </w:style>
  <w:style w:type="character" w:styleId="FooterChar" w:customStyle="1">
    <w:name w:val="Footer Char"/>
    <w:basedOn w:val="DefaultParagraphFont"/>
    <w:link w:val="Footer"/>
    <w:uiPriority w:val="99"/>
    <w:rsid w:val="009D68D0"/>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lobalpartnership.org/sites/default/files/2018-07-gpe-improving-teacher-support-in-legs.pdf" TargetMode="External"/><Relationship Id="rId11" Type="http://schemas.openxmlformats.org/officeDocument/2006/relationships/hyperlink" Target="https://www.d2l.com/resources/assets/education-equity-the-digital-divide-and-covid-19/" TargetMode="External"/><Relationship Id="rId22" Type="http://schemas.openxmlformats.org/officeDocument/2006/relationships/hyperlink" Target="http://www.ungei.org/resources/files/Missed-opportunities-high-cost-of-not-educating-girls-World-Bank-July-2018.pdf" TargetMode="External"/><Relationship Id="rId10" Type="http://schemas.openxmlformats.org/officeDocument/2006/relationships/hyperlink" Target="https://chicagounbound.uchicago.edu/uclf/vol1989/iss1/8" TargetMode="External"/><Relationship Id="rId21" Type="http://schemas.openxmlformats.org/officeDocument/2006/relationships/hyperlink" Target="https://www.savethechildren.net/save-our-education-report/" TargetMode="External"/><Relationship Id="rId13" Type="http://schemas.openxmlformats.org/officeDocument/2006/relationships/hyperlink" Target="https://www.globalpartnership.org/events/role-gender-equality-and-girls-education-times-covid-19" TargetMode="External"/><Relationship Id="rId12" Type="http://schemas.openxmlformats.org/officeDocument/2006/relationships/hyperlink" Target="https://www.epi.org/publication/the-consequences-of-the-covid-19-pandemic-for-education-performance-and-equity-in-the-united-states-what-can-we-learn-from-pre-pandemic-research-to-inform-relief-recovery-and-rebuilding/"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ata.unicef.org/topic/education/covid-19/" TargetMode="External"/><Relationship Id="rId15" Type="http://schemas.openxmlformats.org/officeDocument/2006/relationships/hyperlink" Target="http://www.ilo.org/public/english/dialogue/download/broch2011e.pdf" TargetMode="External"/><Relationship Id="rId14" Type="http://schemas.openxmlformats.org/officeDocument/2006/relationships/hyperlink" Target="https://www.ilo.org/ifpdial/areas-of-work/social-dialogue/lang--en/index.htm)%20%20a" TargetMode="External"/><Relationship Id="rId17" Type="http://schemas.openxmlformats.org/officeDocument/2006/relationships/hyperlink" Target="http://sro.sussex.ac.uk/id/eprint/94519/1/2020_EI-OSF_Research_EnhancingTeachingProfessionAfrica_ENG_FINAL.pdf" TargetMode="External"/><Relationship Id="rId16" Type="http://schemas.openxmlformats.org/officeDocument/2006/relationships/hyperlink" Target="https://www.ilo.org/wcmsp5/groups/public/---ed_dialogue/---sector/documents/briefingnote/wcms_742025.pdf" TargetMode="External"/><Relationship Id="rId5" Type="http://schemas.openxmlformats.org/officeDocument/2006/relationships/numbering" Target="numbering.xml"/><Relationship Id="rId19" Type="http://schemas.openxmlformats.org/officeDocument/2006/relationships/hyperlink" Target="https://teachertaskforce.org/how-countries-are-helping-teachers-pass-covid-19-test" TargetMode="External"/><Relationship Id="rId6" Type="http://schemas.openxmlformats.org/officeDocument/2006/relationships/styles" Target="styles.xml"/><Relationship Id="rId18" Type="http://schemas.openxmlformats.org/officeDocument/2006/relationships/hyperlink" Target="https://download.ei-ie.org/Docs/WebDepot/The%20Status%20of%20Teachers%20and%20the%20Teaching%20Profession.pdf" TargetMode="External"/><Relationship Id="rId7" Type="http://schemas.openxmlformats.org/officeDocument/2006/relationships/customXml" Target="../customXML/item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n.unesco.org/covid19/educationresponse" TargetMode="External"/><Relationship Id="rId2" Type="http://schemas.openxmlformats.org/officeDocument/2006/relationships/hyperlink" Target="https://plan-international.org/education/bridging-the-digital-divide" TargetMode="External"/><Relationship Id="rId3" Type="http://schemas.openxmlformats.org/officeDocument/2006/relationships/hyperlink" Target="https://www.hrw.org/report/2018/06/14/leave-no-girl-behind-africa/discrimination-education-against-pregnant-girls-and" TargetMode="External"/><Relationship Id="rId4" Type="http://schemas.openxmlformats.org/officeDocument/2006/relationships/hyperlink" Target="https://theconversation.com/to-build-back-better-after-covid-19-we-must-support-parents-146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Epmv748Y8om9ieZfU7H2xedJGA==">AMUW2mXf0g1DLbt9YKElxr1XeJPZCzcm4FssPT2vSklayqvFI05X+MxMSspwAVND1f3DaWiF9OJ4aPyC7aOLvg7xovkW2/M6Xxx1tc/0WLJxTccsiK/xcuw=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2020-12-08T07:16:00Z</dcterms:created>
  <dc:creator>Carly Manion</dc:creator>
</cp:coreProperties>
</file>