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50B11" w14:textId="77777777" w:rsidR="00511512" w:rsidRPr="00273333" w:rsidRDefault="00511512" w:rsidP="00511512">
      <w:pPr>
        <w:spacing w:line="276" w:lineRule="auto"/>
        <w:jc w:val="center"/>
        <w:rPr>
          <w:rFonts w:ascii="Times New Roman" w:eastAsia="Calibri" w:hAnsi="Times New Roman" w:cs="Times New Roman"/>
          <w:b/>
          <w:bCs/>
          <w:color w:val="000000" w:themeColor="text1"/>
          <w:sz w:val="24"/>
          <w:szCs w:val="24"/>
        </w:rPr>
      </w:pPr>
      <w:r w:rsidRPr="00273333">
        <w:rPr>
          <w:rFonts w:ascii="Times New Roman" w:eastAsia="Calibri" w:hAnsi="Times New Roman" w:cs="Times New Roman"/>
          <w:b/>
          <w:bCs/>
          <w:color w:val="000000" w:themeColor="text1"/>
          <w:sz w:val="24"/>
          <w:szCs w:val="24"/>
        </w:rPr>
        <w:t xml:space="preserve">The National Faculty Development Program: Considering Diversity, Equity, and Inclusion </w:t>
      </w:r>
    </w:p>
    <w:p w14:paraId="0351F4C2" w14:textId="77777777" w:rsidR="00511512" w:rsidRDefault="00511512" w:rsidP="00511512">
      <w:pPr>
        <w:spacing w:line="276" w:lineRule="auto"/>
        <w:rPr>
          <w:rFonts w:ascii="Times New Roman" w:eastAsia="Calibri" w:hAnsi="Times New Roman" w:cs="Times New Roman"/>
          <w:b/>
          <w:color w:val="000000" w:themeColor="text1"/>
          <w:sz w:val="24"/>
          <w:szCs w:val="24"/>
        </w:rPr>
      </w:pPr>
    </w:p>
    <w:p w14:paraId="7A2764DB" w14:textId="77777777" w:rsidR="00511512" w:rsidRDefault="00511512" w:rsidP="00511512">
      <w:pPr>
        <w:spacing w:after="0" w:line="276" w:lineRule="auto"/>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 xml:space="preserve">Abstract: </w:t>
      </w:r>
    </w:p>
    <w:p w14:paraId="5455101C" w14:textId="77777777" w:rsidR="00511512" w:rsidRDefault="00511512" w:rsidP="00511512">
      <w:pPr>
        <w:spacing w:line="276" w:lineRule="auto"/>
        <w:rPr>
          <w:rFonts w:ascii="Times New Roman" w:eastAsia="Calibri" w:hAnsi="Times New Roman" w:cs="Times New Roman"/>
          <w:color w:val="000000" w:themeColor="text1"/>
          <w:sz w:val="24"/>
          <w:szCs w:val="24"/>
        </w:rPr>
      </w:pPr>
      <w:r>
        <w:rPr>
          <w:rFonts w:ascii="Times New Roman" w:eastAsia="Calibri" w:hAnsi="Times New Roman" w:cs="Times New Roman"/>
          <w:i/>
          <w:color w:val="000000" w:themeColor="text1"/>
          <w:sz w:val="24"/>
          <w:szCs w:val="24"/>
        </w:rPr>
        <w:t xml:space="preserve">The National Academy of Higher Education at the Higher Education Commission of Pakistan conducted a faculty development program for over 500 new PhDs prior to their placement at universities. Initially envisaged as a residential, face-to-face program, the National Faculty Development Program 2020 had to pivot to a remote, online format due to the COVID-19 pandemic and lockdown. In this paper, four instructors and an administrator of the program discuss how inclusivity and equity were built into the design and delivery of this program at all stages. The paper begins with an overview and background of the program, followed by reflections on the Universal Design for Learning, active learning, engagement beyond ‘the classroom’, and the use of skill-building clinics for inclusive practices in English language development. It concludes with a discussion and some questions for further study. The authors conclude that the </w:t>
      </w:r>
      <w:proofErr w:type="gramStart"/>
      <w:r>
        <w:rPr>
          <w:rFonts w:ascii="Times New Roman" w:eastAsia="Calibri" w:hAnsi="Times New Roman" w:cs="Times New Roman"/>
          <w:i/>
          <w:color w:val="000000" w:themeColor="text1"/>
          <w:sz w:val="24"/>
          <w:szCs w:val="24"/>
        </w:rPr>
        <w:t>program built</w:t>
      </w:r>
      <w:proofErr w:type="gramEnd"/>
      <w:r>
        <w:rPr>
          <w:rFonts w:ascii="Times New Roman" w:eastAsia="Calibri" w:hAnsi="Times New Roman" w:cs="Times New Roman"/>
          <w:i/>
          <w:color w:val="000000" w:themeColor="text1"/>
          <w:sz w:val="24"/>
          <w:szCs w:val="24"/>
        </w:rPr>
        <w:t xml:space="preserve"> capacity for online as well as in-person delivery to support adaptability, flexibility, empathy, confidence, and the possibility of incorporating inclusive practices. An attempt is made in the paper to retain the distinctive authorial voices of the contributors, in order to support the cultural, geographical, disciplinary, experiential and other diversity in the team.</w:t>
      </w:r>
    </w:p>
    <w:p w14:paraId="5E57D7F7" w14:textId="77777777" w:rsidR="00511512" w:rsidRDefault="00511512" w:rsidP="00511512">
      <w:pPr>
        <w:spacing w:line="276" w:lineRule="auto"/>
        <w:rPr>
          <w:rFonts w:ascii="Times New Roman" w:eastAsia="Calibri" w:hAnsi="Times New Roman" w:cs="Times New Roman"/>
          <w:i/>
          <w:color w:val="000000" w:themeColor="text1"/>
          <w:sz w:val="24"/>
          <w:szCs w:val="24"/>
        </w:rPr>
      </w:pPr>
      <w:r>
        <w:rPr>
          <w:rFonts w:ascii="Times New Roman" w:eastAsia="Calibri" w:hAnsi="Times New Roman" w:cs="Times New Roman"/>
          <w:b/>
          <w:color w:val="000000" w:themeColor="text1"/>
          <w:sz w:val="24"/>
          <w:szCs w:val="24"/>
        </w:rPr>
        <w:t xml:space="preserve">Keywords: </w:t>
      </w:r>
      <w:r>
        <w:rPr>
          <w:rFonts w:ascii="Times New Roman" w:eastAsia="Calibri" w:hAnsi="Times New Roman" w:cs="Times New Roman"/>
          <w:i/>
          <w:color w:val="000000" w:themeColor="text1"/>
          <w:sz w:val="24"/>
          <w:szCs w:val="24"/>
        </w:rPr>
        <w:t>Higher education, faculty development, online, inclusive, instruction.</w:t>
      </w:r>
    </w:p>
    <w:p w14:paraId="6B04F7BE" w14:textId="77777777" w:rsidR="00511512" w:rsidRPr="008A41D3" w:rsidRDefault="00511512" w:rsidP="00511512">
      <w:pPr>
        <w:spacing w:line="276" w:lineRule="auto"/>
        <w:rPr>
          <w:rFonts w:ascii="Times New Roman" w:eastAsia="Calibri" w:hAnsi="Times New Roman" w:cs="Times New Roman"/>
          <w:i/>
          <w:color w:val="000000" w:themeColor="text1"/>
          <w:sz w:val="24"/>
          <w:szCs w:val="24"/>
        </w:rPr>
      </w:pPr>
    </w:p>
    <w:p w14:paraId="38A12C22" w14:textId="77777777" w:rsidR="00511512" w:rsidRPr="00273333" w:rsidRDefault="00511512" w:rsidP="00511512">
      <w:pPr>
        <w:pStyle w:val="Heading1"/>
      </w:pPr>
      <w:r w:rsidRPr="00273333">
        <w:t>Introduction</w:t>
      </w:r>
    </w:p>
    <w:p w14:paraId="1A26F4C9" w14:textId="77777777" w:rsidR="00511512" w:rsidRDefault="00511512" w:rsidP="00511512">
      <w:pPr>
        <w:spacing w:line="276" w:lineRule="auto"/>
        <w:rPr>
          <w:rFonts w:ascii="Times New Roman" w:eastAsia="Calibri" w:hAnsi="Times New Roman" w:cs="Times New Roman"/>
          <w:color w:val="000000" w:themeColor="text1"/>
          <w:sz w:val="24"/>
          <w:szCs w:val="24"/>
        </w:rPr>
      </w:pPr>
      <w:r w:rsidRPr="00273333">
        <w:rPr>
          <w:rFonts w:ascii="Times New Roman" w:hAnsi="Times New Roman" w:cs="Times New Roman"/>
          <w:sz w:val="24"/>
          <w:szCs w:val="24"/>
        </w:rPr>
        <w:t>The</w:t>
      </w:r>
      <w:r>
        <w:rPr>
          <w:rFonts w:ascii="Times New Roman" w:hAnsi="Times New Roman" w:cs="Times New Roman"/>
          <w:sz w:val="24"/>
          <w:szCs w:val="24"/>
        </w:rPr>
        <w:t xml:space="preserve"> Higher Education Commission (HEC) of Pakistan launched the</w:t>
      </w:r>
      <w:r w:rsidRPr="00273333">
        <w:rPr>
          <w:rFonts w:ascii="Times New Roman" w:hAnsi="Times New Roman" w:cs="Times New Roman"/>
          <w:sz w:val="24"/>
          <w:szCs w:val="24"/>
        </w:rPr>
        <w:t xml:space="preserve"> Interim Placement o</w:t>
      </w:r>
      <w:r>
        <w:rPr>
          <w:rFonts w:ascii="Times New Roman" w:hAnsi="Times New Roman" w:cs="Times New Roman"/>
          <w:sz w:val="24"/>
          <w:szCs w:val="24"/>
        </w:rPr>
        <w:t xml:space="preserve">f Fresh PhDs (IPFP) Program </w:t>
      </w:r>
      <w:r w:rsidRPr="00273333">
        <w:rPr>
          <w:rFonts w:ascii="Times New Roman" w:hAnsi="Times New Roman" w:cs="Times New Roman"/>
          <w:sz w:val="24"/>
          <w:szCs w:val="24"/>
        </w:rPr>
        <w:t>in 2009 to provide employment</w:t>
      </w:r>
      <w:r>
        <w:rPr>
          <w:rFonts w:ascii="Times New Roman" w:hAnsi="Times New Roman" w:cs="Times New Roman"/>
          <w:sz w:val="24"/>
          <w:szCs w:val="24"/>
        </w:rPr>
        <w:t xml:space="preserve"> </w:t>
      </w:r>
      <w:r w:rsidRPr="00273333">
        <w:rPr>
          <w:rFonts w:ascii="Times New Roman" w:hAnsi="Times New Roman" w:cs="Times New Roman"/>
          <w:sz w:val="24"/>
          <w:szCs w:val="24"/>
        </w:rPr>
        <w:t xml:space="preserve">to selected </w:t>
      </w:r>
      <w:r>
        <w:rPr>
          <w:rFonts w:ascii="Times New Roman" w:hAnsi="Times New Roman" w:cs="Times New Roman"/>
          <w:sz w:val="24"/>
          <w:szCs w:val="24"/>
        </w:rPr>
        <w:t>new</w:t>
      </w:r>
      <w:r w:rsidRPr="00273333">
        <w:rPr>
          <w:rFonts w:ascii="Times New Roman" w:hAnsi="Times New Roman" w:cs="Times New Roman"/>
          <w:sz w:val="24"/>
          <w:szCs w:val="24"/>
        </w:rPr>
        <w:t xml:space="preserve"> PhDs</w:t>
      </w:r>
      <w:r>
        <w:rPr>
          <w:rFonts w:ascii="Times New Roman" w:hAnsi="Times New Roman" w:cs="Times New Roman"/>
          <w:sz w:val="24"/>
          <w:szCs w:val="24"/>
        </w:rPr>
        <w:t xml:space="preserve"> as Assistant Professors in Pakistani</w:t>
      </w:r>
      <w:r w:rsidRPr="00273333">
        <w:rPr>
          <w:rFonts w:ascii="Times New Roman" w:hAnsi="Times New Roman" w:cs="Times New Roman"/>
          <w:sz w:val="24"/>
          <w:szCs w:val="24"/>
        </w:rPr>
        <w:t xml:space="preserve"> universities</w:t>
      </w:r>
      <w:r>
        <w:rPr>
          <w:rFonts w:ascii="Times New Roman" w:hAnsi="Times New Roman" w:cs="Times New Roman"/>
          <w:sz w:val="24"/>
          <w:szCs w:val="24"/>
        </w:rPr>
        <w:t xml:space="preserve"> for a year</w:t>
      </w:r>
      <w:r w:rsidRPr="00273333">
        <w:rPr>
          <w:rFonts w:ascii="Times New Roman" w:hAnsi="Times New Roman" w:cs="Times New Roman"/>
          <w:sz w:val="24"/>
          <w:szCs w:val="24"/>
        </w:rPr>
        <w:t xml:space="preserve">. As of April 2019, about 75 per cent of 4,337 IPFP Fellows </w:t>
      </w:r>
      <w:r>
        <w:rPr>
          <w:rFonts w:ascii="Times New Roman" w:hAnsi="Times New Roman" w:cs="Times New Roman"/>
          <w:sz w:val="24"/>
          <w:szCs w:val="24"/>
        </w:rPr>
        <w:t>went on to be hired as permanent faculty at their respective universities.</w:t>
      </w:r>
      <w:r w:rsidRPr="00273333">
        <w:rPr>
          <w:rFonts w:ascii="Times New Roman" w:hAnsi="Times New Roman" w:cs="Times New Roman"/>
          <w:sz w:val="24"/>
          <w:szCs w:val="24"/>
        </w:rPr>
        <w:t xml:space="preserve"> The fact that the remainder </w:t>
      </w:r>
      <w:r>
        <w:rPr>
          <w:rFonts w:ascii="Times New Roman" w:hAnsi="Times New Roman" w:cs="Times New Roman"/>
          <w:sz w:val="24"/>
          <w:szCs w:val="24"/>
        </w:rPr>
        <w:t xml:space="preserve">had </w:t>
      </w:r>
      <w:r w:rsidRPr="00273333">
        <w:rPr>
          <w:rFonts w:ascii="Times New Roman" w:hAnsi="Times New Roman" w:cs="Times New Roman"/>
          <w:sz w:val="24"/>
          <w:szCs w:val="24"/>
        </w:rPr>
        <w:t>not</w:t>
      </w:r>
      <w:r>
        <w:rPr>
          <w:rFonts w:ascii="Times New Roman" w:hAnsi="Times New Roman" w:cs="Times New Roman"/>
          <w:sz w:val="24"/>
          <w:szCs w:val="24"/>
        </w:rPr>
        <w:t xml:space="preserve"> been</w:t>
      </w:r>
      <w:r w:rsidRPr="00273333">
        <w:rPr>
          <w:rFonts w:ascii="Times New Roman" w:hAnsi="Times New Roman" w:cs="Times New Roman"/>
          <w:sz w:val="24"/>
          <w:szCs w:val="24"/>
        </w:rPr>
        <w:t xml:space="preserve"> retained at their institutions led to a revised policy in which the HEC mandated that IPFP candidates would </w:t>
      </w:r>
      <w:r>
        <w:rPr>
          <w:rFonts w:ascii="Times New Roman" w:hAnsi="Times New Roman" w:cs="Times New Roman"/>
          <w:sz w:val="24"/>
          <w:szCs w:val="24"/>
        </w:rPr>
        <w:t xml:space="preserve">be required </w:t>
      </w:r>
      <w:r w:rsidRPr="00273333">
        <w:rPr>
          <w:rFonts w:ascii="Times New Roman" w:hAnsi="Times New Roman" w:cs="Times New Roman"/>
          <w:sz w:val="24"/>
          <w:szCs w:val="24"/>
        </w:rPr>
        <w:t>to receive training prior to their</w:t>
      </w:r>
      <w:r>
        <w:rPr>
          <w:rFonts w:ascii="Times New Roman" w:hAnsi="Times New Roman" w:cs="Times New Roman"/>
          <w:sz w:val="24"/>
          <w:szCs w:val="24"/>
        </w:rPr>
        <w:t xml:space="preserve"> year’s</w:t>
      </w:r>
      <w:r w:rsidRPr="00273333">
        <w:rPr>
          <w:rFonts w:ascii="Times New Roman" w:hAnsi="Times New Roman" w:cs="Times New Roman"/>
          <w:sz w:val="24"/>
          <w:szCs w:val="24"/>
        </w:rPr>
        <w:t xml:space="preserve"> placement.</w:t>
      </w:r>
      <w:r>
        <w:rPr>
          <w:rStyle w:val="EndnoteReference"/>
          <w:rFonts w:ascii="Times New Roman" w:hAnsi="Times New Roman" w:cs="Times New Roman"/>
          <w:sz w:val="24"/>
          <w:szCs w:val="24"/>
        </w:rPr>
        <w:endnoteReference w:id="1"/>
      </w:r>
      <w:r>
        <w:rPr>
          <w:rFonts w:ascii="Times New Roman" w:eastAsia="Calibri" w:hAnsi="Times New Roman" w:cs="Times New Roman"/>
          <w:color w:val="000000" w:themeColor="text1"/>
          <w:sz w:val="24"/>
          <w:szCs w:val="24"/>
        </w:rPr>
        <w:t xml:space="preserve"> </w:t>
      </w:r>
    </w:p>
    <w:p w14:paraId="63899417" w14:textId="77777777" w:rsidR="00511512" w:rsidRDefault="00511512" w:rsidP="00511512">
      <w:pPr>
        <w:spacing w:line="276" w:lineRule="auto"/>
        <w:rPr>
          <w:rFonts w:ascii="Times New Roman" w:eastAsia="Calibri" w:hAnsi="Times New Roman" w:cs="Times New Roman"/>
          <w:color w:val="000000" w:themeColor="text1"/>
          <w:sz w:val="24"/>
          <w:szCs w:val="24"/>
        </w:rPr>
      </w:pPr>
      <w:r>
        <w:rPr>
          <w:rFonts w:ascii="Times New Roman" w:hAnsi="Times New Roman" w:cs="Times New Roman"/>
          <w:sz w:val="24"/>
          <w:szCs w:val="24"/>
        </w:rPr>
        <w:t>T</w:t>
      </w:r>
      <w:r w:rsidRPr="00063A72">
        <w:rPr>
          <w:rFonts w:ascii="Times New Roman" w:hAnsi="Times New Roman" w:cs="Times New Roman"/>
          <w:sz w:val="24"/>
          <w:szCs w:val="24"/>
        </w:rPr>
        <w:t>he National Academy of Higher Education (NAHE)</w:t>
      </w:r>
      <w:r>
        <w:rPr>
          <w:rFonts w:ascii="Times New Roman" w:hAnsi="Times New Roman" w:cs="Times New Roman"/>
          <w:sz w:val="24"/>
          <w:szCs w:val="24"/>
        </w:rPr>
        <w:t xml:space="preserve"> was launched in June 2019 and tasked</w:t>
      </w:r>
      <w:r w:rsidRPr="00CB296D">
        <w:rPr>
          <w:rFonts w:ascii="Times New Roman" w:eastAsia="Calibri" w:hAnsi="Times New Roman" w:cs="Times New Roman"/>
          <w:color w:val="000000" w:themeColor="text1"/>
          <w:sz w:val="24"/>
          <w:szCs w:val="24"/>
        </w:rPr>
        <w:t xml:space="preserve"> with </w:t>
      </w:r>
      <w:r>
        <w:rPr>
          <w:rFonts w:ascii="Times New Roman" w:eastAsia="Calibri" w:hAnsi="Times New Roman" w:cs="Times New Roman"/>
          <w:color w:val="000000" w:themeColor="text1"/>
          <w:sz w:val="24"/>
          <w:szCs w:val="24"/>
        </w:rPr>
        <w:t>the design and</w:t>
      </w:r>
      <w:r w:rsidRPr="00CB296D">
        <w:rPr>
          <w:rFonts w:ascii="Times New Roman" w:eastAsia="Calibri" w:hAnsi="Times New Roman" w:cs="Times New Roman"/>
          <w:color w:val="000000" w:themeColor="text1"/>
          <w:sz w:val="24"/>
          <w:szCs w:val="24"/>
        </w:rPr>
        <w:t xml:space="preserve"> deliver</w:t>
      </w:r>
      <w:r>
        <w:rPr>
          <w:rFonts w:ascii="Times New Roman" w:eastAsia="Calibri" w:hAnsi="Times New Roman" w:cs="Times New Roman"/>
          <w:color w:val="000000" w:themeColor="text1"/>
          <w:sz w:val="24"/>
          <w:szCs w:val="24"/>
        </w:rPr>
        <w:t>y of</w:t>
      </w:r>
      <w:r w:rsidRPr="00CB296D">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 xml:space="preserve">this </w:t>
      </w:r>
      <w:r w:rsidRPr="00CB296D">
        <w:rPr>
          <w:rFonts w:ascii="Times New Roman" w:eastAsia="Calibri" w:hAnsi="Times New Roman" w:cs="Times New Roman"/>
          <w:color w:val="000000" w:themeColor="text1"/>
          <w:sz w:val="24"/>
          <w:szCs w:val="24"/>
        </w:rPr>
        <w:t>faculty development pr</w:t>
      </w:r>
      <w:r>
        <w:rPr>
          <w:rFonts w:ascii="Times New Roman" w:eastAsia="Calibri" w:hAnsi="Times New Roman" w:cs="Times New Roman"/>
          <w:color w:val="000000" w:themeColor="text1"/>
          <w:sz w:val="24"/>
          <w:szCs w:val="24"/>
        </w:rPr>
        <w:t>ogram. A</w:t>
      </w:r>
      <w:r w:rsidRPr="00CB296D">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 xml:space="preserve">newly established NAHE also saw this as an opportunity to </w:t>
      </w:r>
      <w:r w:rsidRPr="00CB296D">
        <w:rPr>
          <w:rFonts w:ascii="Times New Roman" w:eastAsia="Calibri" w:hAnsi="Times New Roman" w:cs="Times New Roman"/>
          <w:color w:val="000000" w:themeColor="text1"/>
          <w:sz w:val="24"/>
          <w:szCs w:val="24"/>
        </w:rPr>
        <w:t xml:space="preserve">incorporate essential knowledge and skills </w:t>
      </w:r>
      <w:r>
        <w:rPr>
          <w:rFonts w:ascii="Times New Roman" w:eastAsia="Calibri" w:hAnsi="Times New Roman" w:cs="Times New Roman"/>
          <w:color w:val="000000" w:themeColor="text1"/>
          <w:sz w:val="24"/>
          <w:szCs w:val="24"/>
        </w:rPr>
        <w:t>to</w:t>
      </w:r>
      <w:r w:rsidRPr="00CB296D">
        <w:rPr>
          <w:rFonts w:ascii="Times New Roman" w:eastAsia="Calibri" w:hAnsi="Times New Roman" w:cs="Times New Roman"/>
          <w:color w:val="000000" w:themeColor="text1"/>
          <w:sz w:val="24"/>
          <w:szCs w:val="24"/>
        </w:rPr>
        <w:t xml:space="preserve"> enhanc</w:t>
      </w:r>
      <w:r>
        <w:rPr>
          <w:rFonts w:ascii="Times New Roman" w:eastAsia="Calibri" w:hAnsi="Times New Roman" w:cs="Times New Roman"/>
          <w:color w:val="000000" w:themeColor="text1"/>
          <w:sz w:val="24"/>
          <w:szCs w:val="24"/>
        </w:rPr>
        <w:t>e</w:t>
      </w:r>
      <w:r w:rsidRPr="00CB296D">
        <w:rPr>
          <w:rFonts w:ascii="Times New Roman" w:eastAsia="Calibri" w:hAnsi="Times New Roman" w:cs="Times New Roman"/>
          <w:color w:val="000000" w:themeColor="text1"/>
          <w:sz w:val="24"/>
          <w:szCs w:val="24"/>
        </w:rPr>
        <w:t xml:space="preserve"> equi</w:t>
      </w:r>
      <w:r>
        <w:rPr>
          <w:rFonts w:ascii="Times New Roman" w:eastAsia="Calibri" w:hAnsi="Times New Roman" w:cs="Times New Roman"/>
          <w:color w:val="000000" w:themeColor="text1"/>
          <w:sz w:val="24"/>
          <w:szCs w:val="24"/>
        </w:rPr>
        <w:t>ty and inclusion in classrooms, in line with its mission</w:t>
      </w:r>
      <w:r>
        <w:rPr>
          <w:rStyle w:val="EndnoteReference"/>
          <w:rFonts w:ascii="Times New Roman" w:eastAsia="Calibri" w:hAnsi="Times New Roman" w:cs="Times New Roman"/>
          <w:color w:val="000000" w:themeColor="text1"/>
          <w:sz w:val="24"/>
          <w:szCs w:val="24"/>
        </w:rPr>
        <w:endnoteReference w:id="2"/>
      </w:r>
      <w:r w:rsidRPr="00CB296D">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 xml:space="preserve">This led to the development of the National Faculty Development Program 2020 (NFDP-2020) </w:t>
      </w:r>
      <w:r w:rsidRPr="00CB296D">
        <w:rPr>
          <w:rFonts w:ascii="Times New Roman" w:eastAsia="Calibri" w:hAnsi="Times New Roman" w:cs="Times New Roman"/>
          <w:color w:val="000000" w:themeColor="text1"/>
          <w:sz w:val="24"/>
          <w:szCs w:val="24"/>
        </w:rPr>
        <w:t>to synergistically address both needs.</w:t>
      </w:r>
    </w:p>
    <w:p w14:paraId="300324BA" w14:textId="77777777" w:rsidR="00511512" w:rsidRDefault="00511512" w:rsidP="00511512">
      <w:pPr>
        <w:spacing w:line="276" w:lineRule="auto"/>
        <w:rPr>
          <w:rFonts w:ascii="Times New Roman" w:eastAsia="Calibri" w:hAnsi="Times New Roman" w:cs="Times New Roman"/>
          <w:color w:val="000000" w:themeColor="text1"/>
          <w:sz w:val="24"/>
          <w:szCs w:val="24"/>
        </w:rPr>
      </w:pPr>
      <w:r w:rsidRPr="00273333">
        <w:rPr>
          <w:rFonts w:ascii="Times New Roman" w:eastAsia="Calibri" w:hAnsi="Times New Roman" w:cs="Times New Roman"/>
          <w:color w:val="000000" w:themeColor="text1"/>
          <w:sz w:val="24"/>
          <w:szCs w:val="24"/>
        </w:rPr>
        <w:t>T</w:t>
      </w:r>
      <w:r>
        <w:rPr>
          <w:rFonts w:ascii="Times New Roman" w:eastAsia="Calibri" w:hAnsi="Times New Roman" w:cs="Times New Roman"/>
          <w:color w:val="000000" w:themeColor="text1"/>
          <w:sz w:val="24"/>
          <w:szCs w:val="24"/>
        </w:rPr>
        <w:t xml:space="preserve">his paper presents reflections </w:t>
      </w:r>
      <w:r w:rsidRPr="004035B8">
        <w:rPr>
          <w:rFonts w:ascii="Times New Roman" w:eastAsia="Calibri" w:hAnsi="Times New Roman" w:cs="Times New Roman"/>
          <w:color w:val="000000" w:themeColor="text1"/>
          <w:sz w:val="24"/>
          <w:szCs w:val="24"/>
        </w:rPr>
        <w:t>of the NFDP-2020 administrators and instructors</w:t>
      </w:r>
      <w:r>
        <w:rPr>
          <w:rFonts w:ascii="Times New Roman" w:eastAsia="Calibri" w:hAnsi="Times New Roman" w:cs="Times New Roman"/>
          <w:color w:val="000000" w:themeColor="text1"/>
          <w:sz w:val="24"/>
          <w:szCs w:val="24"/>
        </w:rPr>
        <w:t xml:space="preserve"> in order to</w:t>
      </w:r>
      <w:r w:rsidRPr="00273333">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 xml:space="preserve">share </w:t>
      </w:r>
      <w:r w:rsidRPr="00273333">
        <w:rPr>
          <w:rFonts w:ascii="Times New Roman" w:eastAsia="Calibri" w:hAnsi="Times New Roman" w:cs="Times New Roman"/>
          <w:color w:val="000000" w:themeColor="text1"/>
          <w:sz w:val="24"/>
          <w:szCs w:val="24"/>
        </w:rPr>
        <w:t>ways</w:t>
      </w:r>
      <w:r>
        <w:rPr>
          <w:rFonts w:ascii="Times New Roman" w:eastAsia="Calibri" w:hAnsi="Times New Roman" w:cs="Times New Roman"/>
          <w:color w:val="000000" w:themeColor="text1"/>
          <w:sz w:val="24"/>
          <w:szCs w:val="24"/>
        </w:rPr>
        <w:t xml:space="preserve"> in which</w:t>
      </w:r>
      <w:r w:rsidRPr="00273333">
        <w:rPr>
          <w:rFonts w:ascii="Times New Roman" w:eastAsia="Calibri" w:hAnsi="Times New Roman" w:cs="Times New Roman"/>
          <w:color w:val="000000" w:themeColor="text1"/>
          <w:sz w:val="24"/>
          <w:szCs w:val="24"/>
        </w:rPr>
        <w:t xml:space="preserve"> equity and inclusion was incorporated into NFDP-2020 in two dimensions: </w:t>
      </w:r>
    </w:p>
    <w:p w14:paraId="03A4BC68" w14:textId="77777777" w:rsidR="00511512" w:rsidRDefault="00511512" w:rsidP="00511512">
      <w:pPr>
        <w:spacing w:line="276" w:lineRule="auto"/>
        <w:rPr>
          <w:rFonts w:ascii="Times New Roman" w:eastAsia="Calibri" w:hAnsi="Times New Roman" w:cs="Times New Roman"/>
          <w:color w:val="000000" w:themeColor="text1"/>
          <w:sz w:val="24"/>
          <w:szCs w:val="24"/>
        </w:rPr>
      </w:pPr>
      <w:r w:rsidRPr="00273333">
        <w:rPr>
          <w:rFonts w:ascii="Times New Roman" w:eastAsia="Calibri" w:hAnsi="Times New Roman" w:cs="Times New Roman"/>
          <w:color w:val="000000" w:themeColor="text1"/>
          <w:sz w:val="24"/>
          <w:szCs w:val="24"/>
        </w:rPr>
        <w:t xml:space="preserve">(1) </w:t>
      </w:r>
      <w:r>
        <w:rPr>
          <w:rFonts w:ascii="Times New Roman" w:eastAsia="Calibri" w:hAnsi="Times New Roman" w:cs="Times New Roman"/>
          <w:color w:val="000000" w:themeColor="text1"/>
          <w:sz w:val="24"/>
          <w:szCs w:val="24"/>
        </w:rPr>
        <w:t xml:space="preserve">to </w:t>
      </w:r>
      <w:r w:rsidRPr="00273333">
        <w:rPr>
          <w:rFonts w:ascii="Times New Roman" w:eastAsia="Calibri" w:hAnsi="Times New Roman" w:cs="Times New Roman"/>
          <w:color w:val="000000" w:themeColor="text1"/>
          <w:sz w:val="24"/>
          <w:szCs w:val="24"/>
        </w:rPr>
        <w:t xml:space="preserve">enhance the achievement of all learning outcomes </w:t>
      </w:r>
    </w:p>
    <w:p w14:paraId="61DC842C" w14:textId="77777777" w:rsidR="00511512" w:rsidRDefault="00511512" w:rsidP="00511512">
      <w:pPr>
        <w:spacing w:line="276" w:lineRule="auto"/>
        <w:rPr>
          <w:rFonts w:ascii="Times New Roman" w:eastAsia="Calibri" w:hAnsi="Times New Roman" w:cs="Times New Roman"/>
          <w:color w:val="000000" w:themeColor="text1"/>
          <w:sz w:val="24"/>
          <w:szCs w:val="24"/>
        </w:rPr>
      </w:pPr>
      <w:r w:rsidRPr="00273333">
        <w:rPr>
          <w:rFonts w:ascii="Times New Roman" w:eastAsia="Calibri" w:hAnsi="Times New Roman" w:cs="Times New Roman"/>
          <w:color w:val="000000" w:themeColor="text1"/>
          <w:sz w:val="24"/>
          <w:szCs w:val="24"/>
        </w:rPr>
        <w:lastRenderedPageBreak/>
        <w:t xml:space="preserve">(2) </w:t>
      </w:r>
      <w:r>
        <w:rPr>
          <w:rFonts w:ascii="Times New Roman" w:eastAsia="Calibri" w:hAnsi="Times New Roman" w:cs="Times New Roman"/>
          <w:color w:val="000000" w:themeColor="text1"/>
          <w:sz w:val="24"/>
          <w:szCs w:val="24"/>
        </w:rPr>
        <w:t xml:space="preserve">to </w:t>
      </w:r>
      <w:r w:rsidRPr="00273333">
        <w:rPr>
          <w:rFonts w:ascii="Times New Roman" w:eastAsia="Calibri" w:hAnsi="Times New Roman" w:cs="Times New Roman"/>
          <w:color w:val="000000" w:themeColor="text1"/>
          <w:sz w:val="24"/>
          <w:szCs w:val="24"/>
        </w:rPr>
        <w:t xml:space="preserve">enhance learning of ways to promote equity and inclusion in </w:t>
      </w:r>
      <w:r>
        <w:rPr>
          <w:rFonts w:ascii="Times New Roman" w:eastAsia="Calibri" w:hAnsi="Times New Roman" w:cs="Times New Roman"/>
          <w:color w:val="000000" w:themeColor="text1"/>
          <w:sz w:val="24"/>
          <w:szCs w:val="24"/>
        </w:rPr>
        <w:t>participants’</w:t>
      </w:r>
      <w:r w:rsidRPr="00273333">
        <w:rPr>
          <w:rFonts w:ascii="Times New Roman" w:eastAsia="Calibri" w:hAnsi="Times New Roman" w:cs="Times New Roman"/>
          <w:color w:val="000000" w:themeColor="text1"/>
          <w:sz w:val="24"/>
          <w:szCs w:val="24"/>
        </w:rPr>
        <w:t xml:space="preserve"> classrooms.</w:t>
      </w:r>
    </w:p>
    <w:p w14:paraId="63C77422" w14:textId="77777777" w:rsidR="00511512" w:rsidRDefault="00511512" w:rsidP="00511512">
      <w:pPr>
        <w:spacing w:line="276"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Crucially, a shared focus on i</w:t>
      </w:r>
      <w:r w:rsidRPr="00273333">
        <w:rPr>
          <w:rFonts w:ascii="Times New Roman" w:eastAsia="Calibri" w:hAnsi="Times New Roman" w:cs="Times New Roman"/>
          <w:color w:val="000000" w:themeColor="text1"/>
          <w:sz w:val="24"/>
          <w:szCs w:val="24"/>
        </w:rPr>
        <w:t>n-person and online instruction</w:t>
      </w:r>
      <w:r>
        <w:rPr>
          <w:rFonts w:ascii="Times New Roman" w:eastAsia="Calibri" w:hAnsi="Times New Roman" w:cs="Times New Roman"/>
          <w:color w:val="000000" w:themeColor="text1"/>
          <w:sz w:val="24"/>
          <w:szCs w:val="24"/>
        </w:rPr>
        <w:t xml:space="preserve"> aimed to</w:t>
      </w:r>
      <w:r w:rsidRPr="00273333">
        <w:rPr>
          <w:rFonts w:ascii="Times New Roman" w:eastAsia="Calibri" w:hAnsi="Times New Roman" w:cs="Times New Roman"/>
          <w:color w:val="000000" w:themeColor="text1"/>
          <w:sz w:val="24"/>
          <w:szCs w:val="24"/>
        </w:rPr>
        <w:t xml:space="preserve"> help those that complete</w:t>
      </w:r>
      <w:r>
        <w:rPr>
          <w:rFonts w:ascii="Times New Roman" w:eastAsia="Calibri" w:hAnsi="Times New Roman" w:cs="Times New Roman"/>
          <w:color w:val="000000" w:themeColor="text1"/>
          <w:sz w:val="24"/>
          <w:szCs w:val="24"/>
        </w:rPr>
        <w:t>d the program</w:t>
      </w:r>
      <w:r w:rsidRPr="00273333">
        <w:rPr>
          <w:rFonts w:ascii="Times New Roman" w:eastAsia="Calibri" w:hAnsi="Times New Roman" w:cs="Times New Roman"/>
          <w:color w:val="000000" w:themeColor="text1"/>
          <w:sz w:val="24"/>
          <w:szCs w:val="24"/>
        </w:rPr>
        <w:t xml:space="preserve"> to be adaptable to </w:t>
      </w:r>
      <w:r>
        <w:rPr>
          <w:rFonts w:ascii="Times New Roman" w:eastAsia="Calibri" w:hAnsi="Times New Roman" w:cs="Times New Roman"/>
          <w:color w:val="000000" w:themeColor="text1"/>
          <w:sz w:val="24"/>
          <w:szCs w:val="24"/>
        </w:rPr>
        <w:t>a relatively unknown</w:t>
      </w:r>
      <w:r w:rsidRPr="00273333">
        <w:rPr>
          <w:rFonts w:ascii="Times New Roman" w:eastAsia="Calibri" w:hAnsi="Times New Roman" w:cs="Times New Roman"/>
          <w:color w:val="000000" w:themeColor="text1"/>
          <w:sz w:val="24"/>
          <w:szCs w:val="24"/>
        </w:rPr>
        <w:t xml:space="preserve"> post-COVID era </w:t>
      </w:r>
      <w:r>
        <w:rPr>
          <w:rFonts w:ascii="Times New Roman" w:eastAsia="Calibri" w:hAnsi="Times New Roman" w:cs="Times New Roman"/>
          <w:color w:val="000000" w:themeColor="text1"/>
          <w:sz w:val="24"/>
          <w:szCs w:val="24"/>
        </w:rPr>
        <w:t>to</w:t>
      </w:r>
      <w:r w:rsidRPr="00273333">
        <w:rPr>
          <w:rFonts w:ascii="Times New Roman" w:eastAsia="Calibri" w:hAnsi="Times New Roman" w:cs="Times New Roman"/>
          <w:color w:val="000000" w:themeColor="text1"/>
          <w:sz w:val="24"/>
          <w:szCs w:val="24"/>
        </w:rPr>
        <w:t xml:space="preserve"> meet the needs for instructional delivery</w:t>
      </w:r>
      <w:r>
        <w:rPr>
          <w:rFonts w:ascii="Times New Roman" w:eastAsia="Calibri" w:hAnsi="Times New Roman" w:cs="Times New Roman"/>
          <w:color w:val="000000" w:themeColor="text1"/>
          <w:sz w:val="24"/>
          <w:szCs w:val="24"/>
        </w:rPr>
        <w:t>,</w:t>
      </w:r>
      <w:r w:rsidRPr="00273333">
        <w:rPr>
          <w:rFonts w:ascii="Times New Roman" w:eastAsia="Calibri" w:hAnsi="Times New Roman" w:cs="Times New Roman"/>
          <w:color w:val="000000" w:themeColor="text1"/>
          <w:sz w:val="24"/>
          <w:szCs w:val="24"/>
        </w:rPr>
        <w:t xml:space="preserve"> given future constraints and challenges. </w:t>
      </w:r>
    </w:p>
    <w:p w14:paraId="75BF289F" w14:textId="77777777" w:rsidR="00511512" w:rsidRPr="00273333" w:rsidRDefault="00511512" w:rsidP="00511512">
      <w:pPr>
        <w:spacing w:line="276" w:lineRule="auto"/>
        <w:rPr>
          <w:rFonts w:ascii="Times New Roman" w:eastAsia="Calibri" w:hAnsi="Times New Roman" w:cs="Times New Roman"/>
          <w:color w:val="000000" w:themeColor="text1"/>
          <w:sz w:val="24"/>
          <w:szCs w:val="24"/>
        </w:rPr>
      </w:pPr>
      <w:r w:rsidRPr="00063A72">
        <w:rPr>
          <w:rFonts w:ascii="Times New Roman" w:eastAsia="Calibri" w:hAnsi="Times New Roman" w:cs="Times New Roman"/>
          <w:color w:val="000000" w:themeColor="text1"/>
          <w:sz w:val="24"/>
          <w:szCs w:val="24"/>
        </w:rPr>
        <w:t>NFDP-2020 was designed to “practice what we preach” related to equity and inclusion</w:t>
      </w:r>
      <w:r>
        <w:rPr>
          <w:rFonts w:ascii="Times New Roman" w:eastAsia="Calibri" w:hAnsi="Times New Roman" w:cs="Times New Roman"/>
          <w:color w:val="000000" w:themeColor="text1"/>
          <w:sz w:val="24"/>
          <w:szCs w:val="24"/>
        </w:rPr>
        <w:t>, and our</w:t>
      </w:r>
      <w:r w:rsidRPr="00063A72">
        <w:rPr>
          <w:rFonts w:ascii="Times New Roman" w:eastAsia="Calibri" w:hAnsi="Times New Roman" w:cs="Times New Roman"/>
          <w:color w:val="000000" w:themeColor="text1"/>
          <w:sz w:val="24"/>
          <w:szCs w:val="24"/>
        </w:rPr>
        <w:t xml:space="preserve"> reflections highlight examples </w:t>
      </w:r>
      <w:r>
        <w:rPr>
          <w:rFonts w:ascii="Times New Roman" w:eastAsia="Calibri" w:hAnsi="Times New Roman" w:cs="Times New Roman"/>
          <w:color w:val="000000" w:themeColor="text1"/>
          <w:sz w:val="24"/>
          <w:szCs w:val="24"/>
        </w:rPr>
        <w:t>related</w:t>
      </w:r>
      <w:r w:rsidRPr="00063A72">
        <w:rPr>
          <w:rFonts w:ascii="Times New Roman" w:eastAsia="Calibri" w:hAnsi="Times New Roman" w:cs="Times New Roman"/>
          <w:color w:val="000000" w:themeColor="text1"/>
          <w:sz w:val="24"/>
          <w:szCs w:val="24"/>
        </w:rPr>
        <w:t xml:space="preserve"> to the administrative planning, instructional design, and delivery of teaching aspects of NFDP-2020. </w:t>
      </w:r>
      <w:r w:rsidRPr="00273333">
        <w:rPr>
          <w:rFonts w:ascii="Times New Roman" w:eastAsia="Calibri" w:hAnsi="Times New Roman" w:cs="Times New Roman"/>
          <w:color w:val="000000" w:themeColor="text1"/>
          <w:sz w:val="24"/>
          <w:szCs w:val="24"/>
        </w:rPr>
        <w:t xml:space="preserve">The next section presents </w:t>
      </w:r>
      <w:r>
        <w:rPr>
          <w:rFonts w:ascii="Times New Roman" w:eastAsia="Calibri" w:hAnsi="Times New Roman" w:cs="Times New Roman"/>
          <w:color w:val="000000" w:themeColor="text1"/>
          <w:sz w:val="24"/>
          <w:szCs w:val="24"/>
        </w:rPr>
        <w:t>a brief</w:t>
      </w:r>
      <w:r w:rsidRPr="00273333">
        <w:rPr>
          <w:rFonts w:ascii="Times New Roman" w:eastAsia="Calibri" w:hAnsi="Times New Roman" w:cs="Times New Roman"/>
          <w:color w:val="000000" w:themeColor="text1"/>
          <w:sz w:val="24"/>
          <w:szCs w:val="24"/>
        </w:rPr>
        <w:t xml:space="preserve"> overview of </w:t>
      </w:r>
      <w:r>
        <w:rPr>
          <w:rFonts w:ascii="Times New Roman" w:eastAsia="Calibri" w:hAnsi="Times New Roman" w:cs="Times New Roman"/>
          <w:color w:val="000000" w:themeColor="text1"/>
          <w:sz w:val="24"/>
          <w:szCs w:val="24"/>
        </w:rPr>
        <w:t xml:space="preserve">the </w:t>
      </w:r>
      <w:r w:rsidRPr="00273333">
        <w:rPr>
          <w:rFonts w:ascii="Times New Roman" w:eastAsia="Calibri" w:hAnsi="Times New Roman" w:cs="Times New Roman"/>
          <w:color w:val="000000" w:themeColor="text1"/>
          <w:sz w:val="24"/>
          <w:szCs w:val="24"/>
        </w:rPr>
        <w:t xml:space="preserve">NFDP-2020, followed by examples of intentionally incorporating learning of equity and inclusion. The paper concludes with a </w:t>
      </w:r>
      <w:r>
        <w:rPr>
          <w:rFonts w:ascii="Times New Roman" w:eastAsia="Calibri" w:hAnsi="Times New Roman" w:cs="Times New Roman"/>
          <w:color w:val="000000" w:themeColor="text1"/>
          <w:sz w:val="24"/>
          <w:szCs w:val="24"/>
        </w:rPr>
        <w:t xml:space="preserve">brief discussion </w:t>
      </w:r>
      <w:r w:rsidRPr="00273333">
        <w:rPr>
          <w:rFonts w:ascii="Times New Roman" w:eastAsia="Calibri" w:hAnsi="Times New Roman" w:cs="Times New Roman"/>
          <w:color w:val="000000" w:themeColor="text1"/>
          <w:sz w:val="24"/>
          <w:szCs w:val="24"/>
        </w:rPr>
        <w:t>and recommendations.</w:t>
      </w:r>
    </w:p>
    <w:p w14:paraId="418647A9" w14:textId="77777777" w:rsidR="00511512" w:rsidRPr="00273333" w:rsidRDefault="00511512" w:rsidP="00511512">
      <w:pPr>
        <w:pStyle w:val="Heading1"/>
        <w:rPr>
          <w:color w:val="000000" w:themeColor="text1"/>
        </w:rPr>
      </w:pPr>
      <w:r w:rsidRPr="00273333">
        <w:t xml:space="preserve">National Faculty Development Program 2020 </w:t>
      </w:r>
    </w:p>
    <w:p w14:paraId="5777E773" w14:textId="77777777" w:rsidR="00511512" w:rsidRPr="00C70991" w:rsidRDefault="00511512" w:rsidP="00511512">
      <w:pPr>
        <w:spacing w:line="276"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NAHE initiated its response to the need to conduct a faculty development program for approximately 600 recent PhDs seeking placement at universities across Pakistan in November 2019.</w:t>
      </w:r>
      <w:r w:rsidRPr="00C70991">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The process began with a pre-assessment to g</w:t>
      </w:r>
      <w:r w:rsidRPr="00C70991">
        <w:rPr>
          <w:rFonts w:ascii="Times New Roman" w:eastAsia="Calibri" w:hAnsi="Times New Roman" w:cs="Times New Roman"/>
          <w:color w:val="000000" w:themeColor="text1"/>
          <w:sz w:val="24"/>
          <w:szCs w:val="24"/>
        </w:rPr>
        <w:t xml:space="preserve">auge </w:t>
      </w:r>
      <w:r>
        <w:rPr>
          <w:rFonts w:ascii="Times New Roman" w:eastAsia="Calibri" w:hAnsi="Times New Roman" w:cs="Times New Roman"/>
          <w:color w:val="000000" w:themeColor="text1"/>
          <w:sz w:val="24"/>
          <w:szCs w:val="24"/>
        </w:rPr>
        <w:t>participants’</w:t>
      </w:r>
      <w:r w:rsidRPr="00C70991">
        <w:rPr>
          <w:rFonts w:ascii="Times New Roman" w:eastAsia="Calibri" w:hAnsi="Times New Roman" w:cs="Times New Roman"/>
          <w:color w:val="000000" w:themeColor="text1"/>
          <w:sz w:val="24"/>
          <w:szCs w:val="24"/>
        </w:rPr>
        <w:t xml:space="preserve"> understanding across three </w:t>
      </w:r>
      <w:r>
        <w:rPr>
          <w:rFonts w:ascii="Times New Roman" w:eastAsia="Calibri" w:hAnsi="Times New Roman" w:cs="Times New Roman"/>
          <w:color w:val="000000" w:themeColor="text1"/>
          <w:sz w:val="24"/>
          <w:szCs w:val="24"/>
        </w:rPr>
        <w:t xml:space="preserve">broad </w:t>
      </w:r>
      <w:r w:rsidRPr="00C70991">
        <w:rPr>
          <w:rFonts w:ascii="Times New Roman" w:eastAsia="Calibri" w:hAnsi="Times New Roman" w:cs="Times New Roman"/>
          <w:color w:val="000000" w:themeColor="text1"/>
          <w:sz w:val="24"/>
          <w:szCs w:val="24"/>
        </w:rPr>
        <w:t>areas: teaching effectiveness, research, and academic leadership</w:t>
      </w:r>
      <w:r>
        <w:rPr>
          <w:rFonts w:ascii="Times New Roman" w:eastAsia="Calibri" w:hAnsi="Times New Roman" w:cs="Times New Roman"/>
          <w:color w:val="000000" w:themeColor="text1"/>
          <w:sz w:val="24"/>
          <w:szCs w:val="24"/>
        </w:rPr>
        <w:t xml:space="preserve">. This 180-minute assessment was designed to be as general as possible, given that candidates represented a wide range of disciplinary specialisms. </w:t>
      </w:r>
      <w:r w:rsidRPr="00C70991">
        <w:rPr>
          <w:rFonts w:ascii="Times New Roman" w:eastAsia="Calibri" w:hAnsi="Times New Roman" w:cs="Times New Roman"/>
          <w:color w:val="000000" w:themeColor="text1"/>
          <w:sz w:val="24"/>
          <w:szCs w:val="24"/>
        </w:rPr>
        <w:t>A combination of multiple choice, short answer and essay questions covered elements of these areas and included topics like academic honesty, grant-writing, candidates’ teaching philosophies</w:t>
      </w:r>
      <w:r>
        <w:rPr>
          <w:rFonts w:ascii="Times New Roman" w:eastAsia="Calibri" w:hAnsi="Times New Roman" w:cs="Times New Roman"/>
          <w:color w:val="000000" w:themeColor="text1"/>
          <w:sz w:val="24"/>
          <w:szCs w:val="24"/>
        </w:rPr>
        <w:t xml:space="preserve"> and research plans</w:t>
      </w:r>
      <w:r w:rsidRPr="00C70991">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rPr>
        <w:t xml:space="preserve"> It</w:t>
      </w:r>
      <w:r w:rsidRPr="00C70991">
        <w:rPr>
          <w:rFonts w:ascii="Times New Roman" w:eastAsia="Calibri" w:hAnsi="Times New Roman" w:cs="Times New Roman"/>
          <w:color w:val="000000" w:themeColor="text1"/>
          <w:sz w:val="24"/>
          <w:szCs w:val="24"/>
        </w:rPr>
        <w:t xml:space="preserve"> was</w:t>
      </w:r>
      <w:r>
        <w:rPr>
          <w:rFonts w:ascii="Times New Roman" w:eastAsia="Calibri" w:hAnsi="Times New Roman" w:cs="Times New Roman"/>
          <w:color w:val="000000" w:themeColor="text1"/>
          <w:sz w:val="24"/>
          <w:szCs w:val="24"/>
        </w:rPr>
        <w:t xml:space="preserve"> conducted on January 26, 2020 across five HEC regional centers.</w:t>
      </w:r>
    </w:p>
    <w:p w14:paraId="2DF70470" w14:textId="77777777" w:rsidR="00511512" w:rsidRDefault="00511512" w:rsidP="00511512">
      <w:pPr>
        <w:spacing w:line="276"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The results suggested a number of gaps including written communication, analytical skills, challenges, and determinants of good teaching, as well as the absence of a clear research plan or vision. Based on this understanding, t</w:t>
      </w:r>
      <w:r w:rsidRPr="00C70991">
        <w:rPr>
          <w:rFonts w:ascii="Times New Roman" w:eastAsia="Calibri" w:hAnsi="Times New Roman" w:cs="Times New Roman"/>
          <w:color w:val="000000" w:themeColor="text1"/>
          <w:sz w:val="24"/>
          <w:szCs w:val="24"/>
        </w:rPr>
        <w:t xml:space="preserve">he </w:t>
      </w:r>
      <w:r>
        <w:rPr>
          <w:rFonts w:ascii="Times New Roman" w:eastAsia="Calibri" w:hAnsi="Times New Roman" w:cs="Times New Roman"/>
          <w:color w:val="000000" w:themeColor="text1"/>
          <w:sz w:val="24"/>
          <w:szCs w:val="24"/>
        </w:rPr>
        <w:t>NFDP-</w:t>
      </w:r>
      <w:r w:rsidRPr="00C70991">
        <w:rPr>
          <w:rFonts w:ascii="Times New Roman" w:eastAsia="Calibri" w:hAnsi="Times New Roman" w:cs="Times New Roman"/>
          <w:color w:val="000000" w:themeColor="text1"/>
          <w:sz w:val="24"/>
          <w:szCs w:val="24"/>
        </w:rPr>
        <w:t xml:space="preserve">2020 </w:t>
      </w:r>
      <w:r>
        <w:rPr>
          <w:rFonts w:ascii="Times New Roman" w:eastAsia="Calibri" w:hAnsi="Times New Roman" w:cs="Times New Roman"/>
          <w:color w:val="000000" w:themeColor="text1"/>
          <w:sz w:val="24"/>
          <w:szCs w:val="24"/>
        </w:rPr>
        <w:t>started to take shape</w:t>
      </w:r>
      <w:r w:rsidRPr="00C70991">
        <w:rPr>
          <w:rFonts w:ascii="Times New Roman" w:eastAsia="Calibri" w:hAnsi="Times New Roman" w:cs="Times New Roman"/>
          <w:color w:val="000000" w:themeColor="text1"/>
          <w:sz w:val="24"/>
          <w:szCs w:val="24"/>
        </w:rPr>
        <w:t xml:space="preserve"> with </w:t>
      </w:r>
      <w:r>
        <w:rPr>
          <w:rFonts w:ascii="Times New Roman" w:eastAsia="Calibri" w:hAnsi="Times New Roman" w:cs="Times New Roman"/>
          <w:color w:val="000000" w:themeColor="text1"/>
          <w:sz w:val="24"/>
          <w:szCs w:val="24"/>
        </w:rPr>
        <w:t xml:space="preserve">me, Sara Zubair, as its focal person at NAHE, under the stewardship of the Rector, Professor </w:t>
      </w:r>
      <w:proofErr w:type="spellStart"/>
      <w:r>
        <w:rPr>
          <w:rFonts w:ascii="Times New Roman" w:eastAsia="Calibri" w:hAnsi="Times New Roman" w:cs="Times New Roman"/>
          <w:color w:val="000000" w:themeColor="text1"/>
          <w:sz w:val="24"/>
          <w:szCs w:val="24"/>
        </w:rPr>
        <w:t>Shaheen</w:t>
      </w:r>
      <w:proofErr w:type="spellEnd"/>
      <w:r>
        <w:rPr>
          <w:rFonts w:ascii="Times New Roman" w:eastAsia="Calibri" w:hAnsi="Times New Roman" w:cs="Times New Roman"/>
          <w:color w:val="000000" w:themeColor="text1"/>
          <w:sz w:val="24"/>
          <w:szCs w:val="24"/>
        </w:rPr>
        <w:t xml:space="preserve"> Sardar Ali. Dr Steven </w:t>
      </w:r>
      <w:proofErr w:type="spellStart"/>
      <w:r>
        <w:rPr>
          <w:rFonts w:ascii="Times New Roman" w:eastAsia="Calibri" w:hAnsi="Times New Roman" w:cs="Times New Roman"/>
          <w:color w:val="000000" w:themeColor="text1"/>
          <w:sz w:val="24"/>
          <w:szCs w:val="24"/>
        </w:rPr>
        <w:t>Burian</w:t>
      </w:r>
      <w:proofErr w:type="spellEnd"/>
      <w:r>
        <w:rPr>
          <w:rFonts w:ascii="Times New Roman" w:eastAsia="Calibri" w:hAnsi="Times New Roman" w:cs="Times New Roman"/>
          <w:color w:val="000000" w:themeColor="text1"/>
          <w:sz w:val="24"/>
          <w:szCs w:val="24"/>
        </w:rPr>
        <w:t xml:space="preserve"> took the helm for design and delivery</w:t>
      </w:r>
      <w:r w:rsidRPr="00C70991">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NFDP</w:t>
      </w:r>
      <w:r w:rsidRPr="00C70991">
        <w:rPr>
          <w:rFonts w:ascii="Times New Roman" w:eastAsia="Calibri" w:hAnsi="Times New Roman" w:cs="Times New Roman"/>
          <w:color w:val="000000" w:themeColor="text1"/>
          <w:sz w:val="24"/>
          <w:szCs w:val="24"/>
        </w:rPr>
        <w:t xml:space="preserve"> was envisaged as an intensive</w:t>
      </w:r>
      <w:r>
        <w:rPr>
          <w:rFonts w:ascii="Times New Roman" w:eastAsia="Calibri" w:hAnsi="Times New Roman" w:cs="Times New Roman"/>
          <w:color w:val="000000" w:themeColor="text1"/>
          <w:sz w:val="24"/>
          <w:szCs w:val="24"/>
        </w:rPr>
        <w:t>, one-month</w:t>
      </w:r>
      <w:r w:rsidRPr="00C70991">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 xml:space="preserve">residential </w:t>
      </w:r>
      <w:r w:rsidRPr="00C70991">
        <w:rPr>
          <w:rFonts w:ascii="Times New Roman" w:eastAsia="Calibri" w:hAnsi="Times New Roman" w:cs="Times New Roman"/>
          <w:color w:val="000000" w:themeColor="text1"/>
          <w:sz w:val="24"/>
          <w:szCs w:val="24"/>
        </w:rPr>
        <w:t>program to be held concurrently at HEC regional centers and certa</w:t>
      </w:r>
      <w:r>
        <w:rPr>
          <w:rFonts w:ascii="Times New Roman" w:eastAsia="Calibri" w:hAnsi="Times New Roman" w:cs="Times New Roman"/>
          <w:color w:val="000000" w:themeColor="text1"/>
          <w:sz w:val="24"/>
          <w:szCs w:val="24"/>
        </w:rPr>
        <w:t xml:space="preserve">in universities across Pakistan. </w:t>
      </w:r>
    </w:p>
    <w:p w14:paraId="78721879" w14:textId="77777777" w:rsidR="00511512" w:rsidRPr="00C70991" w:rsidRDefault="00511512" w:rsidP="00511512">
      <w:pPr>
        <w:spacing w:line="276"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W</w:t>
      </w:r>
      <w:r w:rsidRPr="00C70991">
        <w:rPr>
          <w:rFonts w:ascii="Times New Roman" w:eastAsia="Calibri" w:hAnsi="Times New Roman" w:cs="Times New Roman"/>
          <w:color w:val="000000" w:themeColor="text1"/>
          <w:sz w:val="24"/>
          <w:szCs w:val="24"/>
        </w:rPr>
        <w:t>hile discussion was underway about just how many times, we would need to run the program to accommodate the sheer number of candidates</w:t>
      </w:r>
      <w:r>
        <w:rPr>
          <w:rFonts w:ascii="Times New Roman" w:eastAsia="Calibri" w:hAnsi="Times New Roman" w:cs="Times New Roman"/>
          <w:color w:val="000000" w:themeColor="text1"/>
          <w:sz w:val="24"/>
          <w:szCs w:val="24"/>
        </w:rPr>
        <w:t xml:space="preserve"> – 540 after pre-assessment – </w:t>
      </w:r>
      <w:r w:rsidRPr="00C70991">
        <w:rPr>
          <w:rFonts w:ascii="Times New Roman" w:eastAsia="Calibri" w:hAnsi="Times New Roman" w:cs="Times New Roman"/>
          <w:color w:val="000000" w:themeColor="text1"/>
          <w:sz w:val="24"/>
          <w:szCs w:val="24"/>
        </w:rPr>
        <w:t>Pakistan went into lockdown at</w:t>
      </w:r>
      <w:r>
        <w:rPr>
          <w:rFonts w:ascii="Times New Roman" w:eastAsia="Calibri" w:hAnsi="Times New Roman" w:cs="Times New Roman"/>
          <w:color w:val="000000" w:themeColor="text1"/>
          <w:sz w:val="24"/>
          <w:szCs w:val="24"/>
        </w:rPr>
        <w:t xml:space="preserve"> </w:t>
      </w:r>
      <w:r w:rsidRPr="00C70991">
        <w:rPr>
          <w:rFonts w:ascii="Times New Roman" w:eastAsia="Calibri" w:hAnsi="Times New Roman" w:cs="Times New Roman"/>
          <w:color w:val="000000" w:themeColor="text1"/>
          <w:sz w:val="24"/>
          <w:szCs w:val="24"/>
        </w:rPr>
        <w:t>the end of March</w:t>
      </w:r>
      <w:r>
        <w:rPr>
          <w:rFonts w:ascii="Times New Roman" w:eastAsia="Calibri" w:hAnsi="Times New Roman" w:cs="Times New Roman"/>
          <w:color w:val="000000" w:themeColor="text1"/>
          <w:sz w:val="24"/>
          <w:szCs w:val="24"/>
        </w:rPr>
        <w:t xml:space="preserve"> 2020 </w:t>
      </w:r>
      <w:r w:rsidRPr="00C70991">
        <w:rPr>
          <w:rFonts w:ascii="Times New Roman" w:eastAsia="Calibri" w:hAnsi="Times New Roman" w:cs="Times New Roman"/>
          <w:color w:val="000000" w:themeColor="text1"/>
          <w:sz w:val="24"/>
          <w:szCs w:val="24"/>
        </w:rPr>
        <w:t>due to the rapid spread of COVID-19. What did this mean for the NFDP?</w:t>
      </w:r>
    </w:p>
    <w:p w14:paraId="4C21C75A" w14:textId="77777777" w:rsidR="00511512" w:rsidRPr="00C70991" w:rsidRDefault="00511512" w:rsidP="00511512">
      <w:pPr>
        <w:spacing w:line="276" w:lineRule="auto"/>
        <w:rPr>
          <w:rFonts w:ascii="Times New Roman" w:eastAsia="Calibri" w:hAnsi="Times New Roman" w:cs="Times New Roman"/>
          <w:color w:val="000000" w:themeColor="text1"/>
          <w:sz w:val="24"/>
          <w:szCs w:val="24"/>
        </w:rPr>
      </w:pPr>
      <w:r w:rsidRPr="00C70991">
        <w:rPr>
          <w:rFonts w:ascii="Times New Roman" w:eastAsia="Calibri" w:hAnsi="Times New Roman" w:cs="Times New Roman"/>
          <w:color w:val="000000" w:themeColor="text1"/>
          <w:sz w:val="24"/>
          <w:szCs w:val="24"/>
        </w:rPr>
        <w:t>First, everything had to pivot to a fully online mode of delivery.</w:t>
      </w:r>
      <w:r>
        <w:rPr>
          <w:rFonts w:ascii="Times New Roman" w:eastAsia="Calibri" w:hAnsi="Times New Roman" w:cs="Times New Roman"/>
          <w:color w:val="000000" w:themeColor="text1"/>
          <w:sz w:val="24"/>
          <w:szCs w:val="24"/>
        </w:rPr>
        <w:t xml:space="preserve"> This not only meant rethinking content, </w:t>
      </w:r>
      <w:proofErr w:type="gramStart"/>
      <w:r>
        <w:rPr>
          <w:rFonts w:ascii="Times New Roman" w:eastAsia="Calibri" w:hAnsi="Times New Roman" w:cs="Times New Roman"/>
          <w:color w:val="000000" w:themeColor="text1"/>
          <w:sz w:val="24"/>
          <w:szCs w:val="24"/>
        </w:rPr>
        <w:t>e.g.</w:t>
      </w:r>
      <w:proofErr w:type="gramEnd"/>
      <w:r>
        <w:rPr>
          <w:rFonts w:ascii="Times New Roman" w:eastAsia="Calibri" w:hAnsi="Times New Roman" w:cs="Times New Roman"/>
          <w:color w:val="000000" w:themeColor="text1"/>
          <w:sz w:val="24"/>
          <w:szCs w:val="24"/>
        </w:rPr>
        <w:t xml:space="preserve"> doing away with a separate module on ‘technology in education’ and drawing attention to technology throughout the program, but also redesigning what a day would look like when it was virtual. </w:t>
      </w:r>
      <w:r w:rsidRPr="00C70991">
        <w:rPr>
          <w:rFonts w:ascii="Times New Roman" w:eastAsia="Calibri" w:hAnsi="Times New Roman" w:cs="Times New Roman"/>
          <w:color w:val="000000" w:themeColor="text1"/>
          <w:sz w:val="24"/>
          <w:szCs w:val="24"/>
        </w:rPr>
        <w:t xml:space="preserve">Second, </w:t>
      </w:r>
      <w:r>
        <w:rPr>
          <w:rFonts w:ascii="Times New Roman" w:eastAsia="Calibri" w:hAnsi="Times New Roman" w:cs="Times New Roman"/>
          <w:color w:val="000000" w:themeColor="text1"/>
          <w:sz w:val="24"/>
          <w:szCs w:val="24"/>
        </w:rPr>
        <w:t>NAHE had to fulfil</w:t>
      </w:r>
      <w:r w:rsidRPr="00C70991">
        <w:rPr>
          <w:rFonts w:ascii="Times New Roman" w:eastAsia="Calibri" w:hAnsi="Times New Roman" w:cs="Times New Roman"/>
          <w:color w:val="000000" w:themeColor="text1"/>
          <w:sz w:val="24"/>
          <w:szCs w:val="24"/>
        </w:rPr>
        <w:t xml:space="preserve"> all HEC requirements to ensure it was “online ready”</w:t>
      </w:r>
      <w:r>
        <w:rPr>
          <w:rStyle w:val="EndnoteReference"/>
          <w:rFonts w:ascii="Times New Roman" w:eastAsia="Calibri" w:hAnsi="Times New Roman" w:cs="Times New Roman"/>
          <w:color w:val="000000" w:themeColor="text1"/>
          <w:sz w:val="24"/>
          <w:szCs w:val="24"/>
        </w:rPr>
        <w:endnoteReference w:id="3"/>
      </w:r>
      <w:r>
        <w:rPr>
          <w:rFonts w:ascii="Times New Roman" w:eastAsia="Calibri" w:hAnsi="Times New Roman" w:cs="Times New Roman"/>
          <w:color w:val="000000" w:themeColor="text1"/>
          <w:sz w:val="24"/>
          <w:szCs w:val="24"/>
        </w:rPr>
        <w:t xml:space="preserve"> as an organization. Third, suddenly</w:t>
      </w:r>
      <w:r w:rsidRPr="00C70991">
        <w:rPr>
          <w:rFonts w:ascii="Times New Roman" w:eastAsia="Calibri" w:hAnsi="Times New Roman" w:cs="Times New Roman"/>
          <w:color w:val="000000" w:themeColor="text1"/>
          <w:sz w:val="24"/>
          <w:szCs w:val="24"/>
        </w:rPr>
        <w:t xml:space="preserve"> the most difficult </w:t>
      </w:r>
      <w:r>
        <w:rPr>
          <w:rFonts w:ascii="Times New Roman" w:eastAsia="Calibri" w:hAnsi="Times New Roman" w:cs="Times New Roman"/>
          <w:color w:val="000000" w:themeColor="text1"/>
          <w:sz w:val="24"/>
          <w:szCs w:val="24"/>
        </w:rPr>
        <w:t xml:space="preserve">operational </w:t>
      </w:r>
      <w:r w:rsidRPr="00C70991">
        <w:rPr>
          <w:rFonts w:ascii="Times New Roman" w:eastAsia="Calibri" w:hAnsi="Times New Roman" w:cs="Times New Roman"/>
          <w:color w:val="000000" w:themeColor="text1"/>
          <w:sz w:val="24"/>
          <w:szCs w:val="24"/>
        </w:rPr>
        <w:t>questions</w:t>
      </w:r>
      <w:r>
        <w:rPr>
          <w:rFonts w:ascii="Times New Roman" w:eastAsia="Calibri" w:hAnsi="Times New Roman" w:cs="Times New Roman"/>
          <w:color w:val="000000" w:themeColor="text1"/>
          <w:sz w:val="24"/>
          <w:szCs w:val="24"/>
        </w:rPr>
        <w:t xml:space="preserve"> we had confronted now</w:t>
      </w:r>
      <w:r w:rsidRPr="00C70991">
        <w:rPr>
          <w:rFonts w:ascii="Times New Roman" w:eastAsia="Calibri" w:hAnsi="Times New Roman" w:cs="Times New Roman"/>
          <w:color w:val="000000" w:themeColor="text1"/>
          <w:sz w:val="24"/>
          <w:szCs w:val="24"/>
        </w:rPr>
        <w:t xml:space="preserve"> had answers: how would we accommodate such large numbers</w:t>
      </w:r>
      <w:r>
        <w:rPr>
          <w:rFonts w:ascii="Times New Roman" w:eastAsia="Calibri" w:hAnsi="Times New Roman" w:cs="Times New Roman"/>
          <w:color w:val="000000" w:themeColor="text1"/>
          <w:sz w:val="24"/>
          <w:szCs w:val="24"/>
        </w:rPr>
        <w:t xml:space="preserve"> of participants? </w:t>
      </w:r>
      <w:r>
        <w:rPr>
          <w:rFonts w:ascii="Times New Roman" w:eastAsia="Calibri" w:hAnsi="Times New Roman" w:cs="Times New Roman"/>
          <w:color w:val="000000" w:themeColor="text1"/>
          <w:sz w:val="24"/>
          <w:szCs w:val="24"/>
        </w:rPr>
        <w:lastRenderedPageBreak/>
        <w:t>H</w:t>
      </w:r>
      <w:r w:rsidRPr="00C70991">
        <w:rPr>
          <w:rFonts w:ascii="Times New Roman" w:eastAsia="Calibri" w:hAnsi="Times New Roman" w:cs="Times New Roman"/>
          <w:color w:val="000000" w:themeColor="text1"/>
          <w:sz w:val="24"/>
          <w:szCs w:val="24"/>
        </w:rPr>
        <w:t>ow could we keep track of so many concurrent workshops to ensure consistent and sustained quality</w:t>
      </w:r>
      <w:r>
        <w:rPr>
          <w:rFonts w:ascii="Times New Roman" w:eastAsia="Calibri" w:hAnsi="Times New Roman" w:cs="Times New Roman"/>
          <w:color w:val="000000" w:themeColor="text1"/>
          <w:sz w:val="24"/>
          <w:szCs w:val="24"/>
        </w:rPr>
        <w:t>?</w:t>
      </w:r>
      <w:r w:rsidRPr="00C70991">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W</w:t>
      </w:r>
      <w:r w:rsidRPr="00C70991">
        <w:rPr>
          <w:rFonts w:ascii="Times New Roman" w:eastAsia="Calibri" w:hAnsi="Times New Roman" w:cs="Times New Roman"/>
          <w:color w:val="000000" w:themeColor="text1"/>
          <w:sz w:val="24"/>
          <w:szCs w:val="24"/>
        </w:rPr>
        <w:t>ho was going to deliver all these workshops</w:t>
      </w:r>
      <w:r>
        <w:rPr>
          <w:rFonts w:ascii="Times New Roman" w:eastAsia="Calibri" w:hAnsi="Times New Roman" w:cs="Times New Roman"/>
          <w:color w:val="000000" w:themeColor="text1"/>
          <w:sz w:val="24"/>
          <w:szCs w:val="24"/>
        </w:rPr>
        <w:t>?</w:t>
      </w:r>
    </w:p>
    <w:p w14:paraId="46E9A907" w14:textId="77777777" w:rsidR="00511512" w:rsidRDefault="00511512" w:rsidP="00511512">
      <w:pPr>
        <w:spacing w:line="276"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The first two of these answered themselves the moment NFDP-2020 went online; for its online iteration, Dr Steve </w:t>
      </w:r>
      <w:proofErr w:type="spellStart"/>
      <w:r>
        <w:rPr>
          <w:rFonts w:ascii="Times New Roman" w:eastAsia="Calibri" w:hAnsi="Times New Roman" w:cs="Times New Roman"/>
          <w:color w:val="000000" w:themeColor="text1"/>
          <w:sz w:val="24"/>
          <w:szCs w:val="24"/>
        </w:rPr>
        <w:t>Burian</w:t>
      </w:r>
      <w:proofErr w:type="spellEnd"/>
      <w:r>
        <w:rPr>
          <w:rFonts w:ascii="Times New Roman" w:eastAsia="Calibri" w:hAnsi="Times New Roman" w:cs="Times New Roman"/>
          <w:color w:val="000000" w:themeColor="text1"/>
          <w:sz w:val="24"/>
          <w:szCs w:val="24"/>
        </w:rPr>
        <w:t xml:space="preserve"> and Dr </w:t>
      </w:r>
      <w:proofErr w:type="spellStart"/>
      <w:r>
        <w:rPr>
          <w:rFonts w:ascii="Times New Roman" w:eastAsia="Calibri" w:hAnsi="Times New Roman" w:cs="Times New Roman"/>
          <w:color w:val="000000" w:themeColor="text1"/>
          <w:sz w:val="24"/>
          <w:szCs w:val="24"/>
        </w:rPr>
        <w:t>Shazia</w:t>
      </w:r>
      <w:proofErr w:type="spellEnd"/>
      <w:r>
        <w:rPr>
          <w:rFonts w:ascii="Times New Roman" w:eastAsia="Calibri" w:hAnsi="Times New Roman" w:cs="Times New Roman"/>
          <w:color w:val="000000" w:themeColor="text1"/>
          <w:sz w:val="24"/>
          <w:szCs w:val="24"/>
        </w:rPr>
        <w:t xml:space="preserve"> Awan led the instructional team, which included Dr Saima </w:t>
      </w:r>
      <w:proofErr w:type="spellStart"/>
      <w:r>
        <w:rPr>
          <w:rFonts w:ascii="Times New Roman" w:eastAsia="Calibri" w:hAnsi="Times New Roman" w:cs="Times New Roman"/>
          <w:color w:val="000000" w:themeColor="text1"/>
          <w:sz w:val="24"/>
          <w:szCs w:val="24"/>
        </w:rPr>
        <w:t>Sherazi</w:t>
      </w:r>
      <w:proofErr w:type="spellEnd"/>
      <w:r>
        <w:rPr>
          <w:rFonts w:ascii="Times New Roman" w:eastAsia="Calibri" w:hAnsi="Times New Roman" w:cs="Times New Roman"/>
          <w:color w:val="000000" w:themeColor="text1"/>
          <w:sz w:val="24"/>
          <w:szCs w:val="24"/>
        </w:rPr>
        <w:t xml:space="preserve">, and Dr </w:t>
      </w:r>
      <w:proofErr w:type="spellStart"/>
      <w:r>
        <w:rPr>
          <w:rFonts w:ascii="Times New Roman" w:eastAsia="Calibri" w:hAnsi="Times New Roman" w:cs="Times New Roman"/>
          <w:color w:val="000000" w:themeColor="text1"/>
          <w:sz w:val="24"/>
          <w:szCs w:val="24"/>
        </w:rPr>
        <w:t>Hassaan</w:t>
      </w:r>
      <w:proofErr w:type="spellEnd"/>
      <w:r>
        <w:rPr>
          <w:rFonts w:ascii="Times New Roman" w:eastAsia="Calibri" w:hAnsi="Times New Roman" w:cs="Times New Roman"/>
          <w:color w:val="000000" w:themeColor="text1"/>
          <w:sz w:val="24"/>
          <w:szCs w:val="24"/>
        </w:rPr>
        <w:t xml:space="preserve"> Khan. The instructors joined the program from the United States, Canada, United Kingdom and Pakistan, respectively. Four cohorts were planned, starting with a cohort of about 40 participants or Fellows, and the remaining three with 100-150 Fellows each. </w:t>
      </w:r>
    </w:p>
    <w:p w14:paraId="0D064983" w14:textId="77777777" w:rsidR="00511512" w:rsidRDefault="00511512" w:rsidP="00511512">
      <w:pPr>
        <w:spacing w:line="276"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 typical day in the 24-day program was as follows:</w:t>
      </w:r>
    </w:p>
    <w:p w14:paraId="453EE382" w14:textId="77777777" w:rsidR="00511512" w:rsidRPr="00CE0D80" w:rsidRDefault="00511512" w:rsidP="00511512">
      <w:pPr>
        <w:spacing w:line="276" w:lineRule="auto"/>
        <w:rPr>
          <w:rFonts w:ascii="Times New Roman" w:eastAsia="Calibri" w:hAnsi="Times New Roman" w:cs="Times New Roman"/>
          <w:b/>
          <w:i/>
          <w:color w:val="000000" w:themeColor="text1"/>
          <w:sz w:val="24"/>
          <w:szCs w:val="24"/>
        </w:rPr>
      </w:pPr>
      <w:r>
        <w:rPr>
          <w:rFonts w:ascii="Times New Roman" w:eastAsia="Calibri" w:hAnsi="Times New Roman" w:cs="Times New Roman"/>
          <w:b/>
          <w:i/>
          <w:color w:val="000000" w:themeColor="text1"/>
          <w:sz w:val="24"/>
          <w:szCs w:val="24"/>
        </w:rPr>
        <w:t>Table 1. Daily Schedule</w:t>
      </w:r>
    </w:p>
    <w:tbl>
      <w:tblPr>
        <w:tblW w:w="9355"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070"/>
        <w:gridCol w:w="4500"/>
        <w:gridCol w:w="2785"/>
      </w:tblGrid>
      <w:tr w:rsidR="00511512" w:rsidRPr="001918F1" w14:paraId="182B2E13" w14:textId="77777777" w:rsidTr="00B50E74">
        <w:tc>
          <w:tcPr>
            <w:tcW w:w="2070" w:type="dxa"/>
            <w:shd w:val="clear" w:color="auto" w:fill="A4C2F4"/>
          </w:tcPr>
          <w:p w14:paraId="18AABF8E" w14:textId="77777777" w:rsidR="00511512" w:rsidRPr="001918F1" w:rsidRDefault="00511512" w:rsidP="00B50E74">
            <w:pPr>
              <w:spacing w:after="0"/>
              <w:rPr>
                <w:rFonts w:ascii="Times New Roman" w:eastAsia="Calibri" w:hAnsi="Times New Roman" w:cs="Times New Roman"/>
                <w:b/>
              </w:rPr>
            </w:pPr>
            <w:r w:rsidRPr="001918F1">
              <w:rPr>
                <w:rFonts w:ascii="Times New Roman" w:eastAsia="Calibri" w:hAnsi="Times New Roman" w:cs="Times New Roman"/>
                <w:b/>
              </w:rPr>
              <w:t>Time (PST)</w:t>
            </w:r>
          </w:p>
        </w:tc>
        <w:tc>
          <w:tcPr>
            <w:tcW w:w="4500" w:type="dxa"/>
            <w:shd w:val="clear" w:color="auto" w:fill="A4C2F4"/>
          </w:tcPr>
          <w:p w14:paraId="69836F71" w14:textId="77777777" w:rsidR="00511512" w:rsidRPr="001918F1" w:rsidRDefault="00511512" w:rsidP="00B50E74">
            <w:pPr>
              <w:spacing w:after="0"/>
              <w:rPr>
                <w:rFonts w:ascii="Times New Roman" w:eastAsia="Calibri" w:hAnsi="Times New Roman" w:cs="Times New Roman"/>
                <w:b/>
              </w:rPr>
            </w:pPr>
            <w:r w:rsidRPr="001918F1">
              <w:rPr>
                <w:rFonts w:ascii="Times New Roman" w:eastAsia="Calibri" w:hAnsi="Times New Roman" w:cs="Times New Roman"/>
                <w:b/>
              </w:rPr>
              <w:t>Activity</w:t>
            </w:r>
          </w:p>
        </w:tc>
        <w:tc>
          <w:tcPr>
            <w:tcW w:w="2785" w:type="dxa"/>
            <w:shd w:val="clear" w:color="auto" w:fill="A4C2F4"/>
          </w:tcPr>
          <w:p w14:paraId="72573F7A" w14:textId="77777777" w:rsidR="00511512" w:rsidRPr="001918F1" w:rsidRDefault="00511512" w:rsidP="00B50E74">
            <w:pPr>
              <w:spacing w:after="0"/>
              <w:rPr>
                <w:rFonts w:ascii="Times New Roman" w:eastAsia="Calibri" w:hAnsi="Times New Roman" w:cs="Times New Roman"/>
                <w:b/>
              </w:rPr>
            </w:pPr>
            <w:r w:rsidRPr="001918F1">
              <w:rPr>
                <w:rFonts w:ascii="Times New Roman" w:eastAsia="Calibri" w:hAnsi="Times New Roman" w:cs="Times New Roman"/>
                <w:b/>
              </w:rPr>
              <w:t>Interaction Method</w:t>
            </w:r>
          </w:p>
        </w:tc>
      </w:tr>
      <w:tr w:rsidR="00511512" w:rsidRPr="001918F1" w14:paraId="627EABEB" w14:textId="77777777" w:rsidTr="00B50E74">
        <w:tc>
          <w:tcPr>
            <w:tcW w:w="2070" w:type="dxa"/>
          </w:tcPr>
          <w:p w14:paraId="4B934107" w14:textId="77777777" w:rsidR="00511512" w:rsidRPr="001918F1" w:rsidRDefault="00511512" w:rsidP="00B50E74">
            <w:pPr>
              <w:spacing w:after="0"/>
              <w:rPr>
                <w:rFonts w:ascii="Times New Roman" w:eastAsia="Calibri" w:hAnsi="Times New Roman" w:cs="Times New Roman"/>
                <w:b/>
              </w:rPr>
            </w:pPr>
            <w:r w:rsidRPr="001918F1">
              <w:rPr>
                <w:rFonts w:ascii="Times New Roman" w:eastAsia="Calibri" w:hAnsi="Times New Roman" w:cs="Times New Roman"/>
                <w:b/>
              </w:rPr>
              <w:t>8:00-10:00 am</w:t>
            </w:r>
          </w:p>
        </w:tc>
        <w:tc>
          <w:tcPr>
            <w:tcW w:w="4500" w:type="dxa"/>
          </w:tcPr>
          <w:p w14:paraId="6B32973C" w14:textId="77777777" w:rsidR="00511512" w:rsidRPr="001918F1" w:rsidRDefault="00511512" w:rsidP="00B50E74">
            <w:pPr>
              <w:spacing w:after="0"/>
              <w:rPr>
                <w:rFonts w:ascii="Times New Roman" w:eastAsia="Calibri" w:hAnsi="Times New Roman" w:cs="Times New Roman"/>
              </w:rPr>
            </w:pPr>
            <w:r w:rsidRPr="001918F1">
              <w:rPr>
                <w:rFonts w:ascii="Times New Roman" w:eastAsia="Calibri" w:hAnsi="Times New Roman" w:cs="Times New Roman"/>
              </w:rPr>
              <w:t>Live Interactive Webinar and Learning Activities</w:t>
            </w:r>
          </w:p>
        </w:tc>
        <w:tc>
          <w:tcPr>
            <w:tcW w:w="2785" w:type="dxa"/>
          </w:tcPr>
          <w:p w14:paraId="0EE0D601" w14:textId="77777777" w:rsidR="00511512" w:rsidRPr="001918F1" w:rsidRDefault="00511512" w:rsidP="00B50E74">
            <w:pPr>
              <w:spacing w:after="0"/>
              <w:rPr>
                <w:rFonts w:ascii="Times New Roman" w:eastAsia="Calibri" w:hAnsi="Times New Roman" w:cs="Times New Roman"/>
              </w:rPr>
            </w:pPr>
            <w:r w:rsidRPr="001918F1">
              <w:rPr>
                <w:rFonts w:ascii="Times New Roman" w:eastAsia="Calibri" w:hAnsi="Times New Roman" w:cs="Times New Roman"/>
              </w:rPr>
              <w:t>Synchronous</w:t>
            </w:r>
          </w:p>
        </w:tc>
      </w:tr>
      <w:tr w:rsidR="00511512" w:rsidRPr="001918F1" w14:paraId="575F2124" w14:textId="77777777" w:rsidTr="00B50E74">
        <w:tc>
          <w:tcPr>
            <w:tcW w:w="2070" w:type="dxa"/>
          </w:tcPr>
          <w:p w14:paraId="3096421F" w14:textId="77777777" w:rsidR="00511512" w:rsidRPr="001918F1" w:rsidRDefault="00511512" w:rsidP="00B50E74">
            <w:pPr>
              <w:spacing w:after="0"/>
              <w:rPr>
                <w:rFonts w:ascii="Times New Roman" w:eastAsia="Calibri" w:hAnsi="Times New Roman" w:cs="Times New Roman"/>
                <w:b/>
              </w:rPr>
            </w:pPr>
            <w:r w:rsidRPr="001918F1">
              <w:rPr>
                <w:rFonts w:ascii="Times New Roman" w:eastAsia="Calibri" w:hAnsi="Times New Roman" w:cs="Times New Roman"/>
                <w:b/>
              </w:rPr>
              <w:t>10:00-10:30 am</w:t>
            </w:r>
          </w:p>
        </w:tc>
        <w:tc>
          <w:tcPr>
            <w:tcW w:w="7285" w:type="dxa"/>
            <w:gridSpan w:val="2"/>
          </w:tcPr>
          <w:p w14:paraId="0F735A62" w14:textId="77777777" w:rsidR="00511512" w:rsidRPr="001918F1" w:rsidRDefault="00511512" w:rsidP="00B50E74">
            <w:pPr>
              <w:spacing w:after="0"/>
              <w:rPr>
                <w:rFonts w:ascii="Times New Roman" w:eastAsia="Calibri" w:hAnsi="Times New Roman" w:cs="Times New Roman"/>
              </w:rPr>
            </w:pPr>
            <w:r w:rsidRPr="001918F1">
              <w:rPr>
                <w:rFonts w:ascii="Times New Roman" w:eastAsia="Calibri" w:hAnsi="Times New Roman" w:cs="Times New Roman"/>
              </w:rPr>
              <w:t>Break</w:t>
            </w:r>
          </w:p>
        </w:tc>
      </w:tr>
      <w:tr w:rsidR="00511512" w:rsidRPr="001918F1" w14:paraId="6E1CC22C" w14:textId="77777777" w:rsidTr="00B50E74">
        <w:tc>
          <w:tcPr>
            <w:tcW w:w="2070" w:type="dxa"/>
          </w:tcPr>
          <w:p w14:paraId="77873D1D" w14:textId="77777777" w:rsidR="00511512" w:rsidRPr="001918F1" w:rsidRDefault="00511512" w:rsidP="00B50E74">
            <w:pPr>
              <w:spacing w:after="0"/>
              <w:rPr>
                <w:rFonts w:ascii="Times New Roman" w:eastAsia="Calibri" w:hAnsi="Times New Roman" w:cs="Times New Roman"/>
                <w:b/>
              </w:rPr>
            </w:pPr>
            <w:r w:rsidRPr="001918F1">
              <w:rPr>
                <w:rFonts w:ascii="Times New Roman" w:eastAsia="Calibri" w:hAnsi="Times New Roman" w:cs="Times New Roman"/>
                <w:b/>
              </w:rPr>
              <w:t>10:30-12:30 pm</w:t>
            </w:r>
          </w:p>
        </w:tc>
        <w:tc>
          <w:tcPr>
            <w:tcW w:w="4500" w:type="dxa"/>
          </w:tcPr>
          <w:p w14:paraId="1A4075FA" w14:textId="77777777" w:rsidR="00511512" w:rsidRPr="001918F1" w:rsidRDefault="00511512" w:rsidP="00B50E74">
            <w:pPr>
              <w:spacing w:after="0"/>
              <w:rPr>
                <w:rFonts w:ascii="Times New Roman" w:eastAsia="Calibri" w:hAnsi="Times New Roman" w:cs="Times New Roman"/>
              </w:rPr>
            </w:pPr>
            <w:r w:rsidRPr="001918F1">
              <w:rPr>
                <w:rFonts w:ascii="Times New Roman" w:eastAsia="Calibri" w:hAnsi="Times New Roman" w:cs="Times New Roman"/>
              </w:rPr>
              <w:t>Reading Boot Camp</w:t>
            </w:r>
          </w:p>
        </w:tc>
        <w:tc>
          <w:tcPr>
            <w:tcW w:w="2785" w:type="dxa"/>
          </w:tcPr>
          <w:p w14:paraId="35FAB5C9" w14:textId="77777777" w:rsidR="00511512" w:rsidRPr="001918F1" w:rsidRDefault="00511512" w:rsidP="00B50E74">
            <w:pPr>
              <w:spacing w:after="0"/>
              <w:rPr>
                <w:rFonts w:ascii="Times New Roman" w:eastAsia="Calibri" w:hAnsi="Times New Roman" w:cs="Times New Roman"/>
              </w:rPr>
            </w:pPr>
            <w:r w:rsidRPr="001918F1">
              <w:rPr>
                <w:rFonts w:ascii="Times New Roman" w:eastAsia="Calibri" w:hAnsi="Times New Roman" w:cs="Times New Roman"/>
              </w:rPr>
              <w:t>Synchronous</w:t>
            </w:r>
          </w:p>
        </w:tc>
      </w:tr>
      <w:tr w:rsidR="00511512" w:rsidRPr="001918F1" w14:paraId="5C5E6346" w14:textId="77777777" w:rsidTr="00B50E74">
        <w:tc>
          <w:tcPr>
            <w:tcW w:w="2070" w:type="dxa"/>
          </w:tcPr>
          <w:p w14:paraId="6052103D" w14:textId="77777777" w:rsidR="00511512" w:rsidRPr="001918F1" w:rsidRDefault="00511512" w:rsidP="00B50E74">
            <w:pPr>
              <w:spacing w:after="0"/>
              <w:rPr>
                <w:rFonts w:ascii="Times New Roman" w:eastAsia="Calibri" w:hAnsi="Times New Roman" w:cs="Times New Roman"/>
                <w:b/>
              </w:rPr>
            </w:pPr>
            <w:r w:rsidRPr="001918F1">
              <w:rPr>
                <w:rFonts w:ascii="Times New Roman" w:eastAsia="Calibri" w:hAnsi="Times New Roman" w:cs="Times New Roman"/>
                <w:b/>
              </w:rPr>
              <w:t>12:30-1:30 pm</w:t>
            </w:r>
          </w:p>
        </w:tc>
        <w:tc>
          <w:tcPr>
            <w:tcW w:w="7285" w:type="dxa"/>
            <w:gridSpan w:val="2"/>
          </w:tcPr>
          <w:p w14:paraId="4745D08C" w14:textId="77777777" w:rsidR="00511512" w:rsidRPr="001918F1" w:rsidRDefault="00511512" w:rsidP="00B50E74">
            <w:pPr>
              <w:spacing w:after="0"/>
              <w:rPr>
                <w:rFonts w:ascii="Times New Roman" w:eastAsia="Calibri" w:hAnsi="Times New Roman" w:cs="Times New Roman"/>
              </w:rPr>
            </w:pPr>
            <w:r w:rsidRPr="001918F1">
              <w:rPr>
                <w:rFonts w:ascii="Times New Roman" w:eastAsia="Calibri" w:hAnsi="Times New Roman" w:cs="Times New Roman"/>
              </w:rPr>
              <w:t>Lunch Break</w:t>
            </w:r>
          </w:p>
        </w:tc>
      </w:tr>
      <w:tr w:rsidR="00511512" w:rsidRPr="001918F1" w14:paraId="3DD88DE6" w14:textId="77777777" w:rsidTr="00B50E74">
        <w:tc>
          <w:tcPr>
            <w:tcW w:w="2070" w:type="dxa"/>
          </w:tcPr>
          <w:p w14:paraId="2C135B28" w14:textId="77777777" w:rsidR="00511512" w:rsidRPr="001918F1" w:rsidRDefault="00511512" w:rsidP="00B50E74">
            <w:pPr>
              <w:spacing w:after="0"/>
              <w:rPr>
                <w:rFonts w:ascii="Times New Roman" w:eastAsia="Calibri" w:hAnsi="Times New Roman" w:cs="Times New Roman"/>
                <w:b/>
              </w:rPr>
            </w:pPr>
            <w:r w:rsidRPr="001918F1">
              <w:rPr>
                <w:rFonts w:ascii="Times New Roman" w:eastAsia="Calibri" w:hAnsi="Times New Roman" w:cs="Times New Roman"/>
                <w:b/>
              </w:rPr>
              <w:t>1:30-3:30 pm</w:t>
            </w:r>
          </w:p>
        </w:tc>
        <w:tc>
          <w:tcPr>
            <w:tcW w:w="4500" w:type="dxa"/>
          </w:tcPr>
          <w:p w14:paraId="7D9CE87E" w14:textId="77777777" w:rsidR="00511512" w:rsidRPr="001918F1" w:rsidRDefault="00511512" w:rsidP="00B50E74">
            <w:pPr>
              <w:spacing w:after="0"/>
              <w:rPr>
                <w:rFonts w:ascii="Times New Roman" w:eastAsia="Calibri" w:hAnsi="Times New Roman" w:cs="Times New Roman"/>
              </w:rPr>
            </w:pPr>
            <w:r w:rsidRPr="001918F1">
              <w:rPr>
                <w:rFonts w:ascii="Times New Roman" w:eastAsia="Calibri" w:hAnsi="Times New Roman" w:cs="Times New Roman"/>
              </w:rPr>
              <w:t>Writing Boot Camp*</w:t>
            </w:r>
          </w:p>
        </w:tc>
        <w:tc>
          <w:tcPr>
            <w:tcW w:w="2785" w:type="dxa"/>
          </w:tcPr>
          <w:p w14:paraId="0790173F" w14:textId="77777777" w:rsidR="00511512" w:rsidRPr="001918F1" w:rsidRDefault="00511512" w:rsidP="00B50E74">
            <w:pPr>
              <w:spacing w:after="0"/>
              <w:rPr>
                <w:rFonts w:ascii="Times New Roman" w:eastAsia="Calibri" w:hAnsi="Times New Roman" w:cs="Times New Roman"/>
              </w:rPr>
            </w:pPr>
            <w:r w:rsidRPr="001918F1">
              <w:rPr>
                <w:rFonts w:ascii="Times New Roman" w:eastAsia="Calibri" w:hAnsi="Times New Roman" w:cs="Times New Roman"/>
              </w:rPr>
              <w:t>Synchronous/Asynchronous</w:t>
            </w:r>
          </w:p>
        </w:tc>
      </w:tr>
      <w:tr w:rsidR="00511512" w:rsidRPr="001918F1" w14:paraId="046427C2" w14:textId="77777777" w:rsidTr="00B50E74">
        <w:tc>
          <w:tcPr>
            <w:tcW w:w="2070" w:type="dxa"/>
          </w:tcPr>
          <w:p w14:paraId="37C88B5E" w14:textId="77777777" w:rsidR="00511512" w:rsidRPr="001918F1" w:rsidRDefault="00511512" w:rsidP="00B50E74">
            <w:pPr>
              <w:spacing w:after="0"/>
              <w:rPr>
                <w:rFonts w:ascii="Times New Roman" w:eastAsia="Calibri" w:hAnsi="Times New Roman" w:cs="Times New Roman"/>
                <w:b/>
              </w:rPr>
            </w:pPr>
            <w:r w:rsidRPr="001918F1">
              <w:rPr>
                <w:rFonts w:ascii="Times New Roman" w:eastAsia="Calibri" w:hAnsi="Times New Roman" w:cs="Times New Roman"/>
                <w:b/>
              </w:rPr>
              <w:t>3:30-4:00 pm</w:t>
            </w:r>
          </w:p>
        </w:tc>
        <w:tc>
          <w:tcPr>
            <w:tcW w:w="7285" w:type="dxa"/>
            <w:gridSpan w:val="2"/>
          </w:tcPr>
          <w:p w14:paraId="239774AF" w14:textId="77777777" w:rsidR="00511512" w:rsidRPr="001918F1" w:rsidRDefault="00511512" w:rsidP="00B50E74">
            <w:pPr>
              <w:spacing w:after="0"/>
              <w:rPr>
                <w:rFonts w:ascii="Times New Roman" w:eastAsia="Calibri" w:hAnsi="Times New Roman" w:cs="Times New Roman"/>
              </w:rPr>
            </w:pPr>
            <w:r w:rsidRPr="001918F1">
              <w:rPr>
                <w:rFonts w:ascii="Times New Roman" w:eastAsia="Calibri" w:hAnsi="Times New Roman" w:cs="Times New Roman"/>
              </w:rPr>
              <w:t>Break</w:t>
            </w:r>
          </w:p>
        </w:tc>
      </w:tr>
      <w:tr w:rsidR="00511512" w:rsidRPr="001918F1" w14:paraId="31615E1E" w14:textId="77777777" w:rsidTr="00B50E74">
        <w:tc>
          <w:tcPr>
            <w:tcW w:w="2070" w:type="dxa"/>
          </w:tcPr>
          <w:p w14:paraId="1155EA36" w14:textId="77777777" w:rsidR="00511512" w:rsidRPr="001918F1" w:rsidRDefault="00511512" w:rsidP="00B50E74">
            <w:pPr>
              <w:spacing w:after="0"/>
              <w:rPr>
                <w:rFonts w:ascii="Times New Roman" w:eastAsia="Calibri" w:hAnsi="Times New Roman" w:cs="Times New Roman"/>
                <w:b/>
              </w:rPr>
            </w:pPr>
            <w:r w:rsidRPr="001918F1">
              <w:rPr>
                <w:rFonts w:ascii="Times New Roman" w:eastAsia="Calibri" w:hAnsi="Times New Roman" w:cs="Times New Roman"/>
                <w:b/>
              </w:rPr>
              <w:t>4:00-6:00 pm</w:t>
            </w:r>
          </w:p>
        </w:tc>
        <w:tc>
          <w:tcPr>
            <w:tcW w:w="4500" w:type="dxa"/>
          </w:tcPr>
          <w:p w14:paraId="2806DDF4" w14:textId="77777777" w:rsidR="00511512" w:rsidRPr="001918F1" w:rsidRDefault="00511512" w:rsidP="00B50E74">
            <w:pPr>
              <w:spacing w:after="0"/>
              <w:rPr>
                <w:rFonts w:ascii="Times New Roman" w:eastAsia="Calibri" w:hAnsi="Times New Roman" w:cs="Times New Roman"/>
              </w:rPr>
            </w:pPr>
            <w:r w:rsidRPr="001918F1">
              <w:rPr>
                <w:rFonts w:ascii="Times New Roman" w:eastAsia="Calibri" w:hAnsi="Times New Roman" w:cs="Times New Roman"/>
              </w:rPr>
              <w:t>Labs, Juries, Panels*</w:t>
            </w:r>
          </w:p>
        </w:tc>
        <w:tc>
          <w:tcPr>
            <w:tcW w:w="2785" w:type="dxa"/>
          </w:tcPr>
          <w:p w14:paraId="2A7DA64B" w14:textId="77777777" w:rsidR="00511512" w:rsidRPr="001918F1" w:rsidRDefault="00511512" w:rsidP="00B50E74">
            <w:pPr>
              <w:spacing w:after="0"/>
              <w:rPr>
                <w:rFonts w:ascii="Times New Roman" w:eastAsia="Calibri" w:hAnsi="Times New Roman" w:cs="Times New Roman"/>
              </w:rPr>
            </w:pPr>
            <w:r w:rsidRPr="001918F1">
              <w:rPr>
                <w:rFonts w:ascii="Times New Roman" w:eastAsia="Calibri" w:hAnsi="Times New Roman" w:cs="Times New Roman"/>
              </w:rPr>
              <w:t>Synchronous/Asynchronous</w:t>
            </w:r>
          </w:p>
        </w:tc>
      </w:tr>
      <w:tr w:rsidR="00511512" w:rsidRPr="001918F1" w14:paraId="75D57257" w14:textId="77777777" w:rsidTr="00B50E74">
        <w:tc>
          <w:tcPr>
            <w:tcW w:w="2070" w:type="dxa"/>
          </w:tcPr>
          <w:p w14:paraId="7F647AB0" w14:textId="77777777" w:rsidR="00511512" w:rsidRPr="001918F1" w:rsidRDefault="00511512" w:rsidP="00B50E74">
            <w:pPr>
              <w:spacing w:after="0"/>
              <w:rPr>
                <w:rFonts w:ascii="Times New Roman" w:eastAsia="Calibri" w:hAnsi="Times New Roman" w:cs="Times New Roman"/>
                <w:b/>
              </w:rPr>
            </w:pPr>
            <w:r w:rsidRPr="001918F1">
              <w:rPr>
                <w:rFonts w:ascii="Times New Roman" w:eastAsia="Calibri" w:hAnsi="Times New Roman" w:cs="Times New Roman"/>
                <w:b/>
              </w:rPr>
              <w:t>After 6:00 pm</w:t>
            </w:r>
          </w:p>
        </w:tc>
        <w:tc>
          <w:tcPr>
            <w:tcW w:w="4500" w:type="dxa"/>
          </w:tcPr>
          <w:p w14:paraId="4CC3B151" w14:textId="77777777" w:rsidR="00511512" w:rsidRPr="001918F1" w:rsidRDefault="00511512" w:rsidP="00B50E74">
            <w:pPr>
              <w:spacing w:after="0"/>
              <w:rPr>
                <w:rFonts w:ascii="Times New Roman" w:eastAsia="Calibri" w:hAnsi="Times New Roman" w:cs="Times New Roman"/>
              </w:rPr>
            </w:pPr>
            <w:r w:rsidRPr="001918F1">
              <w:rPr>
                <w:rFonts w:ascii="Times New Roman" w:eastAsia="Calibri" w:hAnsi="Times New Roman" w:cs="Times New Roman"/>
              </w:rPr>
              <w:t>Additional Work Time, Mentoring &amp; Coaching</w:t>
            </w:r>
          </w:p>
        </w:tc>
        <w:tc>
          <w:tcPr>
            <w:tcW w:w="2785" w:type="dxa"/>
          </w:tcPr>
          <w:p w14:paraId="0A76422D" w14:textId="77777777" w:rsidR="00511512" w:rsidRPr="001918F1" w:rsidRDefault="00511512" w:rsidP="00B50E74">
            <w:pPr>
              <w:spacing w:after="0"/>
              <w:rPr>
                <w:rFonts w:ascii="Times New Roman" w:eastAsia="Calibri" w:hAnsi="Times New Roman" w:cs="Times New Roman"/>
              </w:rPr>
            </w:pPr>
            <w:r w:rsidRPr="001918F1">
              <w:rPr>
                <w:rFonts w:ascii="Times New Roman" w:eastAsia="Calibri" w:hAnsi="Times New Roman" w:cs="Times New Roman"/>
              </w:rPr>
              <w:t>Synchronous</w:t>
            </w:r>
          </w:p>
        </w:tc>
      </w:tr>
    </w:tbl>
    <w:p w14:paraId="18906413" w14:textId="77777777" w:rsidR="00511512" w:rsidRDefault="00511512" w:rsidP="00511512"/>
    <w:p w14:paraId="765BF91A" w14:textId="77777777" w:rsidR="00511512" w:rsidRDefault="00511512" w:rsidP="00511512">
      <w:pPr>
        <w:spacing w:line="276" w:lineRule="auto"/>
        <w:rPr>
          <w:rFonts w:ascii="Times New Roman" w:eastAsia="Calibri" w:hAnsi="Times New Roman" w:cs="Times New Roman"/>
          <w:noProof/>
          <w:color w:val="000000" w:themeColor="text1"/>
          <w:sz w:val="24"/>
          <w:szCs w:val="24"/>
          <w:lang w:val="en-GB" w:eastAsia="en-GB"/>
        </w:rPr>
      </w:pPr>
      <w:r>
        <w:rPr>
          <w:rFonts w:ascii="Times New Roman" w:eastAsia="Calibri" w:hAnsi="Times New Roman" w:cs="Times New Roman"/>
          <w:color w:val="000000" w:themeColor="text1"/>
          <w:sz w:val="24"/>
          <w:szCs w:val="24"/>
        </w:rPr>
        <w:t>The following graphs are a snapshot of the diversity inherent among NFDP-2020 Fellows across gender, domicile, country, and discipline of PhD earned.</w:t>
      </w:r>
      <w:r w:rsidRPr="00540259">
        <w:rPr>
          <w:rFonts w:ascii="Times New Roman" w:eastAsia="Calibri" w:hAnsi="Times New Roman" w:cs="Times New Roman"/>
          <w:noProof/>
          <w:color w:val="000000" w:themeColor="text1"/>
          <w:sz w:val="24"/>
          <w:szCs w:val="24"/>
          <w:lang w:val="en-GB" w:eastAsia="en-GB"/>
        </w:rPr>
        <w:t xml:space="preserve"> </w:t>
      </w:r>
    </w:p>
    <w:p w14:paraId="4170503C" w14:textId="77777777" w:rsidR="00511512" w:rsidRDefault="00511512" w:rsidP="00511512">
      <w:pPr>
        <w:spacing w:line="276" w:lineRule="auto"/>
        <w:rPr>
          <w:rFonts w:ascii="Times New Roman" w:eastAsia="Calibri" w:hAnsi="Times New Roman" w:cs="Times New Roman"/>
          <w:color w:val="000000" w:themeColor="text1"/>
          <w:sz w:val="24"/>
          <w:szCs w:val="24"/>
        </w:rPr>
      </w:pPr>
      <w:r>
        <w:rPr>
          <w:rFonts w:ascii="Times New Roman" w:eastAsia="Calibri" w:hAnsi="Times New Roman" w:cs="Times New Roman"/>
          <w:noProof/>
          <w:color w:val="000000" w:themeColor="text1"/>
          <w:sz w:val="24"/>
          <w:szCs w:val="24"/>
          <w:lang w:val="en-GB" w:eastAsia="en-GB"/>
        </w:rPr>
        <w:drawing>
          <wp:inline distT="0" distB="0" distL="0" distR="0" wp14:anchorId="2C65AD10" wp14:editId="53AD11AF">
            <wp:extent cx="3803191" cy="2352675"/>
            <wp:effectExtent l="19050" t="19050" r="2603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rotWithShape="1">
                    <a:blip r:embed="rId8" cstate="print">
                      <a:extLst>
                        <a:ext uri="{28A0092B-C50C-407E-A947-70E740481C1C}">
                          <a14:useLocalDpi xmlns:a14="http://schemas.microsoft.com/office/drawing/2010/main" val="0"/>
                        </a:ext>
                      </a:extLst>
                    </a:blip>
                    <a:srcRect l="867" t="1434" r="1081" b="1444"/>
                    <a:stretch/>
                  </pic:blipFill>
                  <pic:spPr bwMode="auto">
                    <a:xfrm>
                      <a:off x="0" y="0"/>
                      <a:ext cx="3823093" cy="2364986"/>
                    </a:xfrm>
                    <a:prstGeom prst="rect">
                      <a:avLst/>
                    </a:prstGeom>
                    <a:ln>
                      <a:solidFill>
                        <a:schemeClr val="bg1">
                          <a:lumMod val="65000"/>
                        </a:schemeClr>
                      </a:solidFill>
                    </a:ln>
                    <a:extLst>
                      <a:ext uri="{53640926-AAD7-44D8-BBD7-CCE9431645EC}">
                        <a14:shadowObscured xmlns:a14="http://schemas.microsoft.com/office/drawing/2010/main"/>
                      </a:ext>
                    </a:extLst>
                  </pic:spPr>
                </pic:pic>
              </a:graphicData>
            </a:graphic>
          </wp:inline>
        </w:drawing>
      </w:r>
    </w:p>
    <w:p w14:paraId="0CC2D5F5" w14:textId="77777777" w:rsidR="00511512" w:rsidRDefault="00511512" w:rsidP="00511512">
      <w:pPr>
        <w:spacing w:line="276" w:lineRule="auto"/>
        <w:rPr>
          <w:rFonts w:ascii="Times New Roman" w:eastAsia="Calibri" w:hAnsi="Times New Roman" w:cs="Times New Roman"/>
          <w:color w:val="000000" w:themeColor="text1"/>
          <w:sz w:val="24"/>
          <w:szCs w:val="24"/>
        </w:rPr>
      </w:pPr>
      <w:r>
        <w:rPr>
          <w:rFonts w:ascii="Times New Roman" w:eastAsia="Calibri" w:hAnsi="Times New Roman" w:cs="Times New Roman"/>
          <w:noProof/>
          <w:color w:val="000000" w:themeColor="text1"/>
          <w:sz w:val="24"/>
          <w:szCs w:val="24"/>
          <w:lang w:val="en-GB" w:eastAsia="en-GB"/>
        </w:rPr>
        <w:lastRenderedPageBreak/>
        <w:drawing>
          <wp:inline distT="0" distB="0" distL="0" distR="0" wp14:anchorId="318C3C5E" wp14:editId="6BF4BB29">
            <wp:extent cx="3657600" cy="2214339"/>
            <wp:effectExtent l="19050" t="19050" r="19050" b="146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73846" cy="2224174"/>
                    </a:xfrm>
                    <a:prstGeom prst="rect">
                      <a:avLst/>
                    </a:prstGeom>
                    <a:ln>
                      <a:solidFill>
                        <a:schemeClr val="bg1">
                          <a:lumMod val="65000"/>
                        </a:schemeClr>
                      </a:solidFill>
                    </a:ln>
                  </pic:spPr>
                </pic:pic>
              </a:graphicData>
            </a:graphic>
          </wp:inline>
        </w:drawing>
      </w:r>
      <w:r>
        <w:rPr>
          <w:rFonts w:ascii="Times New Roman" w:eastAsia="Calibri" w:hAnsi="Times New Roman" w:cs="Times New Roman"/>
          <w:noProof/>
          <w:color w:val="000000" w:themeColor="text1"/>
          <w:sz w:val="24"/>
          <w:szCs w:val="24"/>
          <w:lang w:val="en-GB" w:eastAsia="en-GB"/>
        </w:rPr>
        <w:drawing>
          <wp:inline distT="0" distB="0" distL="0" distR="0" wp14:anchorId="26BD0C02" wp14:editId="3D8262CC">
            <wp:extent cx="3657600" cy="2178554"/>
            <wp:effectExtent l="19050" t="19050" r="19050"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rotWithShape="1">
                    <a:blip r:embed="rId10" cstate="print">
                      <a:extLst>
                        <a:ext uri="{28A0092B-C50C-407E-A947-70E740481C1C}">
                          <a14:useLocalDpi xmlns:a14="http://schemas.microsoft.com/office/drawing/2010/main" val="0"/>
                        </a:ext>
                      </a:extLst>
                    </a:blip>
                    <a:srcRect l="573" t="955" r="564" b="1039"/>
                    <a:stretch/>
                  </pic:blipFill>
                  <pic:spPr bwMode="auto">
                    <a:xfrm>
                      <a:off x="0" y="0"/>
                      <a:ext cx="3666164" cy="2183655"/>
                    </a:xfrm>
                    <a:prstGeom prst="rect">
                      <a:avLst/>
                    </a:prstGeom>
                    <a:ln>
                      <a:solidFill>
                        <a:schemeClr val="bg1">
                          <a:lumMod val="65000"/>
                        </a:schemeClr>
                      </a:solidFill>
                    </a:ln>
                    <a:extLst>
                      <a:ext uri="{53640926-AAD7-44D8-BBD7-CCE9431645EC}">
                        <a14:shadowObscured xmlns:a14="http://schemas.microsoft.com/office/drawing/2010/main"/>
                      </a:ext>
                    </a:extLst>
                  </pic:spPr>
                </pic:pic>
              </a:graphicData>
            </a:graphic>
          </wp:inline>
        </w:drawing>
      </w:r>
      <w:r>
        <w:rPr>
          <w:rFonts w:ascii="Times New Roman" w:eastAsia="Calibri" w:hAnsi="Times New Roman" w:cs="Times New Roman"/>
          <w:noProof/>
          <w:color w:val="000000" w:themeColor="text1"/>
          <w:sz w:val="24"/>
          <w:szCs w:val="24"/>
          <w:lang w:val="en-GB" w:eastAsia="en-GB"/>
        </w:rPr>
        <w:drawing>
          <wp:inline distT="0" distB="0" distL="0" distR="0" wp14:anchorId="4E14FD2E" wp14:editId="1641BC15">
            <wp:extent cx="4917056" cy="2900423"/>
            <wp:effectExtent l="19050" t="19050" r="17145" b="146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943887" cy="2916250"/>
                    </a:xfrm>
                    <a:prstGeom prst="rect">
                      <a:avLst/>
                    </a:prstGeom>
                    <a:ln>
                      <a:solidFill>
                        <a:schemeClr val="bg1">
                          <a:lumMod val="65000"/>
                        </a:schemeClr>
                      </a:solidFill>
                    </a:ln>
                  </pic:spPr>
                </pic:pic>
              </a:graphicData>
            </a:graphic>
          </wp:inline>
        </w:drawing>
      </w:r>
    </w:p>
    <w:p w14:paraId="2996C869" w14:textId="77777777" w:rsidR="00511512" w:rsidRDefault="00511512" w:rsidP="00511512">
      <w:pPr>
        <w:spacing w:line="276"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To maintain an emphasis on equity and inclusivity throughout the process, not only because of the diversity reflected in the program, but also with Fellows’ varying levels of interest, engagement, ability, and accessibility – particularly at a time when the world was confronted </w:t>
      </w:r>
      <w:r>
        <w:rPr>
          <w:rFonts w:ascii="Times New Roman" w:eastAsia="Calibri" w:hAnsi="Times New Roman" w:cs="Times New Roman"/>
          <w:color w:val="000000" w:themeColor="text1"/>
          <w:sz w:val="24"/>
          <w:szCs w:val="24"/>
        </w:rPr>
        <w:lastRenderedPageBreak/>
        <w:t xml:space="preserve">with a pandemic and its unsettling effects – was challenging to say the least. However, in the sections that follow, each instructor will share their reflections on an element of the program to create a sense of how diversity, equity, and inclusion were woven into instructional design and delivery. </w:t>
      </w:r>
    </w:p>
    <w:p w14:paraId="189324A9" w14:textId="77777777" w:rsidR="00511512" w:rsidRDefault="00511512" w:rsidP="00511512">
      <w:pPr>
        <w:pStyle w:val="Heading1"/>
      </w:pPr>
      <w:r w:rsidRPr="00273333">
        <w:t xml:space="preserve">Approaches to Promote Equity and Inclusion in NFDP-2020 and Fellow Capacities </w:t>
      </w:r>
    </w:p>
    <w:p w14:paraId="5FF229EE" w14:textId="77777777" w:rsidR="00511512" w:rsidRPr="00273333" w:rsidRDefault="00511512" w:rsidP="00511512">
      <w:r>
        <w:rPr>
          <w:rFonts w:ascii="Times New Roman" w:eastAsia="Calibri" w:hAnsi="Times New Roman" w:cs="Times New Roman"/>
          <w:color w:val="000000" w:themeColor="text1"/>
          <w:sz w:val="24"/>
          <w:szCs w:val="24"/>
        </w:rPr>
        <w:t xml:space="preserve">The first subsection is Dr </w:t>
      </w:r>
      <w:proofErr w:type="spellStart"/>
      <w:r>
        <w:rPr>
          <w:rFonts w:ascii="Times New Roman" w:eastAsia="Calibri" w:hAnsi="Times New Roman" w:cs="Times New Roman"/>
          <w:color w:val="000000" w:themeColor="text1"/>
          <w:sz w:val="24"/>
          <w:szCs w:val="24"/>
        </w:rPr>
        <w:t>Shazia</w:t>
      </w:r>
      <w:proofErr w:type="spellEnd"/>
      <w:r>
        <w:rPr>
          <w:rFonts w:ascii="Times New Roman" w:eastAsia="Calibri" w:hAnsi="Times New Roman" w:cs="Times New Roman"/>
          <w:color w:val="000000" w:themeColor="text1"/>
          <w:sz w:val="24"/>
          <w:szCs w:val="24"/>
        </w:rPr>
        <w:t xml:space="preserve"> Awan’s reflections on how Universal Design for Learning was incorporated in the design and instruction of the program. This is followed by Dr Steven </w:t>
      </w:r>
      <w:proofErr w:type="spellStart"/>
      <w:r>
        <w:rPr>
          <w:rFonts w:ascii="Times New Roman" w:eastAsia="Calibri" w:hAnsi="Times New Roman" w:cs="Times New Roman"/>
          <w:color w:val="000000" w:themeColor="text1"/>
          <w:sz w:val="24"/>
          <w:szCs w:val="24"/>
        </w:rPr>
        <w:t>Burian’s</w:t>
      </w:r>
      <w:proofErr w:type="spellEnd"/>
      <w:r>
        <w:rPr>
          <w:rFonts w:ascii="Times New Roman" w:eastAsia="Calibri" w:hAnsi="Times New Roman" w:cs="Times New Roman"/>
          <w:color w:val="000000" w:themeColor="text1"/>
          <w:sz w:val="24"/>
          <w:szCs w:val="24"/>
        </w:rPr>
        <w:t xml:space="preserve"> discussion on the lesser-known benefit of active learning for equitable and inclusive classrooms. Dr </w:t>
      </w:r>
      <w:proofErr w:type="spellStart"/>
      <w:r>
        <w:rPr>
          <w:rFonts w:ascii="Times New Roman" w:eastAsia="Calibri" w:hAnsi="Times New Roman" w:cs="Times New Roman"/>
          <w:color w:val="000000" w:themeColor="text1"/>
          <w:sz w:val="24"/>
          <w:szCs w:val="24"/>
        </w:rPr>
        <w:t>Hassaan</w:t>
      </w:r>
      <w:proofErr w:type="spellEnd"/>
      <w:r>
        <w:rPr>
          <w:rFonts w:ascii="Times New Roman" w:eastAsia="Calibri" w:hAnsi="Times New Roman" w:cs="Times New Roman"/>
          <w:color w:val="000000" w:themeColor="text1"/>
          <w:sz w:val="24"/>
          <w:szCs w:val="24"/>
        </w:rPr>
        <w:t xml:space="preserve"> Khan’s focus is on student engagement beyond seminars and structured activities, by sharing how the online environment was also able to lend itself to the concept of ‘outside the classroom’. Finally, Dr Saima </w:t>
      </w:r>
      <w:proofErr w:type="spellStart"/>
      <w:r>
        <w:rPr>
          <w:rFonts w:ascii="Times New Roman" w:eastAsia="Calibri" w:hAnsi="Times New Roman" w:cs="Times New Roman"/>
          <w:color w:val="000000" w:themeColor="text1"/>
          <w:sz w:val="24"/>
          <w:szCs w:val="24"/>
        </w:rPr>
        <w:t>Sherazi</w:t>
      </w:r>
      <w:proofErr w:type="spellEnd"/>
      <w:r>
        <w:rPr>
          <w:rFonts w:ascii="Times New Roman" w:eastAsia="Calibri" w:hAnsi="Times New Roman" w:cs="Times New Roman"/>
          <w:color w:val="000000" w:themeColor="text1"/>
          <w:sz w:val="24"/>
          <w:szCs w:val="24"/>
        </w:rPr>
        <w:t xml:space="preserve"> reflects on ways in which a focus on English, particularly writing for academic purposes, supported the program’s emphasis on inclusivity. We have made a deliberate attempt to maintain each contributor’s authorial voice to echo how diversity in the administrative and instructional team supported the program’s emphasis on inclusivity and equity without aiming to homogenize individual strengths and attributes.</w:t>
      </w:r>
    </w:p>
    <w:p w14:paraId="683F74B0" w14:textId="77777777" w:rsidR="00511512" w:rsidRPr="0059569D" w:rsidRDefault="00511512" w:rsidP="00511512">
      <w:pPr>
        <w:pStyle w:val="Heading2"/>
        <w:numPr>
          <w:ilvl w:val="1"/>
          <w:numId w:val="2"/>
        </w:numPr>
        <w:tabs>
          <w:tab w:val="num" w:pos="360"/>
        </w:tabs>
      </w:pPr>
      <w:r>
        <w:t xml:space="preserve"> </w:t>
      </w:r>
      <w:r w:rsidRPr="0059569D">
        <w:t xml:space="preserve">Universal Design </w:t>
      </w:r>
      <w:r>
        <w:t>for</w:t>
      </w:r>
      <w:r w:rsidRPr="0059569D">
        <w:t xml:space="preserve"> Learning</w:t>
      </w:r>
    </w:p>
    <w:p w14:paraId="656C6CFC" w14:textId="77777777" w:rsidR="00511512" w:rsidRPr="0061457E" w:rsidRDefault="00511512" w:rsidP="00511512">
      <w:pPr>
        <w:spacing w:line="276" w:lineRule="auto"/>
        <w:rPr>
          <w:rFonts w:ascii="Times New Roman" w:eastAsia="Calibri" w:hAnsi="Times New Roman" w:cs="Times New Roman"/>
          <w:sz w:val="24"/>
          <w:szCs w:val="24"/>
          <w:lang w:val="en-CA"/>
        </w:rPr>
      </w:pPr>
      <w:r>
        <w:rPr>
          <w:rFonts w:ascii="Times New Roman" w:eastAsia="Calibri" w:hAnsi="Times New Roman" w:cs="Times New Roman"/>
          <w:sz w:val="24"/>
          <w:szCs w:val="24"/>
          <w:lang w:val="en-CA"/>
        </w:rPr>
        <w:t>C</w:t>
      </w:r>
      <w:r w:rsidRPr="0061457E">
        <w:rPr>
          <w:rFonts w:ascii="Times New Roman" w:eastAsia="Calibri" w:hAnsi="Times New Roman" w:cs="Times New Roman"/>
          <w:sz w:val="24"/>
          <w:szCs w:val="24"/>
          <w:lang w:val="en-CA"/>
        </w:rPr>
        <w:t>ourse design, use of online educational tools, development of resources, pedagogical principles, institutional support, and student support and monitoring involve careful thinking and planning</w:t>
      </w:r>
      <w:r>
        <w:rPr>
          <w:rFonts w:ascii="Times New Roman" w:eastAsia="Calibri" w:hAnsi="Times New Roman" w:cs="Times New Roman"/>
          <w:sz w:val="24"/>
          <w:szCs w:val="24"/>
          <w:lang w:val="en-CA"/>
        </w:rPr>
        <w:t>, particularly for o</w:t>
      </w:r>
      <w:r w:rsidRPr="00063A72">
        <w:rPr>
          <w:rFonts w:ascii="Times New Roman" w:eastAsia="Calibri" w:hAnsi="Times New Roman" w:cs="Times New Roman"/>
          <w:sz w:val="24"/>
          <w:szCs w:val="24"/>
          <w:lang w:val="en-CA"/>
        </w:rPr>
        <w:t>nline teaching and learning</w:t>
      </w:r>
      <w:r w:rsidRPr="0061457E">
        <w:rPr>
          <w:rFonts w:ascii="Times New Roman" w:eastAsia="Calibri" w:hAnsi="Times New Roman" w:cs="Times New Roman"/>
          <w:sz w:val="24"/>
          <w:szCs w:val="24"/>
          <w:lang w:val="en-CA"/>
        </w:rPr>
        <w:t xml:space="preserve"> (</w:t>
      </w:r>
      <w:proofErr w:type="spellStart"/>
      <w:r w:rsidRPr="0061457E">
        <w:rPr>
          <w:rFonts w:ascii="Times New Roman" w:eastAsia="Calibri" w:hAnsi="Times New Roman" w:cs="Times New Roman"/>
          <w:sz w:val="24"/>
          <w:szCs w:val="24"/>
          <w:lang w:val="en-CA"/>
        </w:rPr>
        <w:t>Rapanta</w:t>
      </w:r>
      <w:proofErr w:type="spellEnd"/>
      <w:r w:rsidRPr="0061457E">
        <w:rPr>
          <w:rFonts w:ascii="Times New Roman" w:eastAsia="Calibri" w:hAnsi="Times New Roman" w:cs="Times New Roman"/>
          <w:sz w:val="24"/>
          <w:szCs w:val="24"/>
          <w:lang w:val="en-CA"/>
        </w:rPr>
        <w:t xml:space="preserve"> et al, 2020). One design practice that has been used </w:t>
      </w:r>
      <w:r>
        <w:rPr>
          <w:rFonts w:ascii="Times New Roman" w:eastAsia="Calibri" w:hAnsi="Times New Roman" w:cs="Times New Roman"/>
          <w:sz w:val="24"/>
          <w:szCs w:val="24"/>
          <w:lang w:val="en-CA"/>
        </w:rPr>
        <w:t>t</w:t>
      </w:r>
      <w:r w:rsidRPr="00063A72">
        <w:rPr>
          <w:rFonts w:ascii="Times New Roman" w:eastAsia="Calibri" w:hAnsi="Times New Roman" w:cs="Times New Roman"/>
          <w:sz w:val="24"/>
          <w:szCs w:val="24"/>
          <w:lang w:val="en-CA"/>
        </w:rPr>
        <w:t>o make course</w:t>
      </w:r>
      <w:r>
        <w:rPr>
          <w:rFonts w:ascii="Times New Roman" w:eastAsia="Calibri" w:hAnsi="Times New Roman" w:cs="Times New Roman"/>
          <w:sz w:val="24"/>
          <w:szCs w:val="24"/>
          <w:lang w:val="en-CA"/>
        </w:rPr>
        <w:t>s</w:t>
      </w:r>
      <w:r w:rsidRPr="00063A72">
        <w:rPr>
          <w:rFonts w:ascii="Times New Roman" w:eastAsia="Calibri" w:hAnsi="Times New Roman" w:cs="Times New Roman"/>
          <w:sz w:val="24"/>
          <w:szCs w:val="24"/>
          <w:lang w:val="en-CA"/>
        </w:rPr>
        <w:t xml:space="preserve"> more inclusive and accessible in the digital environment</w:t>
      </w:r>
      <w:r w:rsidRPr="0061457E">
        <w:rPr>
          <w:rFonts w:ascii="Times New Roman" w:eastAsia="Calibri" w:hAnsi="Times New Roman" w:cs="Times New Roman"/>
          <w:sz w:val="24"/>
          <w:szCs w:val="24"/>
          <w:lang w:val="en-CA"/>
        </w:rPr>
        <w:t xml:space="preserve"> is Universal Design for Learning (UDL). UDL is a scientifically developed pedagogical framework that was originally introduced to consider integration of inclusive practices for students with special needs. </w:t>
      </w:r>
      <w:r>
        <w:rPr>
          <w:rFonts w:ascii="Times New Roman" w:eastAsia="Calibri" w:hAnsi="Times New Roman" w:cs="Times New Roman"/>
          <w:sz w:val="24"/>
          <w:szCs w:val="24"/>
          <w:lang w:val="en-CA"/>
        </w:rPr>
        <w:t>S</w:t>
      </w:r>
      <w:r w:rsidRPr="0061457E">
        <w:rPr>
          <w:rFonts w:ascii="Times New Roman" w:eastAsia="Calibri" w:hAnsi="Times New Roman" w:cs="Times New Roman"/>
          <w:sz w:val="24"/>
          <w:szCs w:val="24"/>
          <w:lang w:val="en-CA"/>
        </w:rPr>
        <w:t>ince the 1960s, UDL has evolved into a framework that helps create an inclusive environment for all students and helps “improve and optimize teaching and learning for all people based on scientific insights into how humans learn” (CAST, 2018).</w:t>
      </w:r>
    </w:p>
    <w:p w14:paraId="0B9DF2B7" w14:textId="77777777" w:rsidR="00511512" w:rsidRDefault="00511512" w:rsidP="00511512">
      <w:pPr>
        <w:spacing w:line="276" w:lineRule="auto"/>
        <w:rPr>
          <w:rFonts w:ascii="Times New Roman" w:eastAsia="Calibri" w:hAnsi="Times New Roman" w:cs="Times New Roman"/>
          <w:sz w:val="24"/>
          <w:szCs w:val="24"/>
          <w:lang w:val="en-CA"/>
        </w:rPr>
      </w:pPr>
      <w:r w:rsidRPr="0061457E">
        <w:rPr>
          <w:rFonts w:ascii="Times New Roman" w:eastAsia="Calibri" w:hAnsi="Times New Roman" w:cs="Times New Roman"/>
          <w:sz w:val="24"/>
          <w:szCs w:val="24"/>
          <w:lang w:val="en-CA"/>
        </w:rPr>
        <w:t>NFDP</w:t>
      </w:r>
      <w:r>
        <w:rPr>
          <w:rFonts w:ascii="Times New Roman" w:eastAsia="Calibri" w:hAnsi="Times New Roman" w:cs="Times New Roman"/>
          <w:sz w:val="24"/>
          <w:szCs w:val="24"/>
          <w:lang w:val="en-CA"/>
        </w:rPr>
        <w:t>-2020</w:t>
      </w:r>
      <w:r w:rsidRPr="0061457E">
        <w:rPr>
          <w:rFonts w:ascii="Times New Roman" w:eastAsia="Calibri" w:hAnsi="Times New Roman" w:cs="Times New Roman"/>
          <w:sz w:val="24"/>
          <w:szCs w:val="24"/>
          <w:lang w:val="en-CA"/>
        </w:rPr>
        <w:t xml:space="preserve"> followed UDL guidelines using three frameworks: the Universal Design for Learning</w:t>
      </w:r>
      <w:r>
        <w:rPr>
          <w:rFonts w:ascii="Times New Roman" w:eastAsia="Calibri" w:hAnsi="Times New Roman" w:cs="Times New Roman"/>
          <w:sz w:val="24"/>
          <w:szCs w:val="24"/>
          <w:lang w:val="en-CA"/>
        </w:rPr>
        <w:t xml:space="preserve"> (UDL</w:t>
      </w:r>
      <w:r w:rsidRPr="0061457E">
        <w:rPr>
          <w:rFonts w:ascii="Times New Roman" w:eastAsia="Calibri" w:hAnsi="Times New Roman" w:cs="Times New Roman"/>
          <w:sz w:val="24"/>
          <w:szCs w:val="24"/>
          <w:lang w:val="en-CA"/>
        </w:rPr>
        <w:t>), the Universal Instructional Design</w:t>
      </w:r>
      <w:r>
        <w:rPr>
          <w:rFonts w:ascii="Times New Roman" w:eastAsia="Calibri" w:hAnsi="Times New Roman" w:cs="Times New Roman"/>
          <w:sz w:val="24"/>
          <w:szCs w:val="24"/>
          <w:lang w:val="en-CA"/>
        </w:rPr>
        <w:t xml:space="preserve"> (</w:t>
      </w:r>
      <w:r w:rsidRPr="00063A72">
        <w:rPr>
          <w:rFonts w:ascii="Times New Roman" w:eastAsia="Calibri" w:hAnsi="Times New Roman" w:cs="Times New Roman"/>
          <w:sz w:val="24"/>
          <w:szCs w:val="24"/>
          <w:lang w:val="en-CA"/>
        </w:rPr>
        <w:t>UID</w:t>
      </w:r>
      <w:r w:rsidRPr="0061457E">
        <w:rPr>
          <w:rFonts w:ascii="Times New Roman" w:eastAsia="Calibri" w:hAnsi="Times New Roman" w:cs="Times New Roman"/>
          <w:sz w:val="24"/>
          <w:szCs w:val="24"/>
          <w:lang w:val="en-CA"/>
        </w:rPr>
        <w:t>) and Universal Design of Instruction</w:t>
      </w:r>
      <w:r>
        <w:rPr>
          <w:rFonts w:ascii="Times New Roman" w:eastAsia="Calibri" w:hAnsi="Times New Roman" w:cs="Times New Roman"/>
          <w:sz w:val="24"/>
          <w:szCs w:val="24"/>
          <w:lang w:val="en-CA"/>
        </w:rPr>
        <w:t xml:space="preserve"> (</w:t>
      </w:r>
      <w:r w:rsidRPr="00063A72">
        <w:rPr>
          <w:rFonts w:ascii="Times New Roman" w:eastAsia="Calibri" w:hAnsi="Times New Roman" w:cs="Times New Roman"/>
          <w:sz w:val="24"/>
          <w:szCs w:val="24"/>
          <w:lang w:val="en-CA"/>
        </w:rPr>
        <w:t>UDI</w:t>
      </w:r>
      <w:r w:rsidRPr="0061457E">
        <w:rPr>
          <w:rFonts w:ascii="Times New Roman" w:eastAsia="Calibri" w:hAnsi="Times New Roman" w:cs="Times New Roman"/>
          <w:sz w:val="24"/>
          <w:szCs w:val="24"/>
          <w:lang w:val="en-CA"/>
        </w:rPr>
        <w:t xml:space="preserve">). These </w:t>
      </w:r>
      <w:r>
        <w:rPr>
          <w:rFonts w:ascii="Times New Roman" w:eastAsia="Calibri" w:hAnsi="Times New Roman" w:cs="Times New Roman"/>
          <w:sz w:val="24"/>
          <w:szCs w:val="24"/>
          <w:lang w:val="en-CA"/>
        </w:rPr>
        <w:t xml:space="preserve">informed </w:t>
      </w:r>
      <w:r w:rsidRPr="0061457E">
        <w:rPr>
          <w:rFonts w:ascii="Times New Roman" w:eastAsia="Calibri" w:hAnsi="Times New Roman" w:cs="Times New Roman"/>
          <w:sz w:val="24"/>
          <w:szCs w:val="24"/>
          <w:lang w:val="en-CA"/>
        </w:rPr>
        <w:t>the design for learning, instructional design of the online course on Moodle</w:t>
      </w:r>
      <w:r>
        <w:rPr>
          <w:rFonts w:ascii="Times New Roman" w:eastAsia="Calibri" w:hAnsi="Times New Roman" w:cs="Times New Roman"/>
          <w:sz w:val="24"/>
          <w:szCs w:val="24"/>
          <w:lang w:val="en-CA"/>
        </w:rPr>
        <w:t xml:space="preserve"> (the selected Learning Management System for the program)</w:t>
      </w:r>
      <w:r w:rsidRPr="0061457E">
        <w:rPr>
          <w:rFonts w:ascii="Times New Roman" w:eastAsia="Calibri" w:hAnsi="Times New Roman" w:cs="Times New Roman"/>
          <w:sz w:val="24"/>
          <w:szCs w:val="24"/>
          <w:lang w:val="en-CA"/>
        </w:rPr>
        <w:t xml:space="preserve">, and design for virtual classroom instruction in both synchronous and asynchronous formats. </w:t>
      </w:r>
    </w:p>
    <w:p w14:paraId="457510ED" w14:textId="77777777" w:rsidR="00511512" w:rsidRDefault="00511512" w:rsidP="00511512">
      <w:pPr>
        <w:spacing w:line="276" w:lineRule="auto"/>
        <w:rPr>
          <w:rFonts w:ascii="Times New Roman" w:eastAsia="Calibri" w:hAnsi="Times New Roman" w:cs="Times New Roman"/>
          <w:sz w:val="24"/>
          <w:szCs w:val="24"/>
          <w:lang w:val="en-CA"/>
        </w:rPr>
      </w:pPr>
      <w:r>
        <w:rPr>
          <w:rFonts w:ascii="Times New Roman" w:eastAsia="Calibri" w:hAnsi="Times New Roman" w:cs="Times New Roman"/>
          <w:sz w:val="24"/>
          <w:szCs w:val="24"/>
          <w:lang w:val="en-CA"/>
        </w:rPr>
        <w:t>A</w:t>
      </w:r>
      <w:r w:rsidRPr="00063A72">
        <w:rPr>
          <w:rFonts w:ascii="Times New Roman" w:eastAsia="Calibri" w:hAnsi="Times New Roman" w:cs="Times New Roman"/>
          <w:sz w:val="24"/>
          <w:szCs w:val="24"/>
          <w:lang w:val="en-CA"/>
        </w:rPr>
        <w:t xml:space="preserve"> deliberate effort was made by the instructional team</w:t>
      </w:r>
      <w:r>
        <w:rPr>
          <w:rFonts w:ascii="Times New Roman" w:eastAsia="Calibri" w:hAnsi="Times New Roman" w:cs="Times New Roman"/>
          <w:sz w:val="24"/>
          <w:szCs w:val="24"/>
          <w:lang w:val="en-CA"/>
        </w:rPr>
        <w:t xml:space="preserve"> t</w:t>
      </w:r>
      <w:r w:rsidRPr="0061457E">
        <w:rPr>
          <w:rFonts w:ascii="Times New Roman" w:eastAsia="Calibri" w:hAnsi="Times New Roman" w:cs="Times New Roman"/>
          <w:sz w:val="24"/>
          <w:szCs w:val="24"/>
          <w:lang w:val="en-CA"/>
        </w:rPr>
        <w:t xml:space="preserve">o create an inclusive, accessible, and equitable online learning experience. </w:t>
      </w:r>
      <w:r>
        <w:rPr>
          <w:rFonts w:ascii="Times New Roman" w:eastAsia="Calibri" w:hAnsi="Times New Roman" w:cs="Times New Roman"/>
          <w:sz w:val="24"/>
          <w:szCs w:val="24"/>
          <w:lang w:val="en-CA"/>
        </w:rPr>
        <w:t>C</w:t>
      </w:r>
      <w:r w:rsidRPr="0061457E">
        <w:rPr>
          <w:rFonts w:ascii="Times New Roman" w:eastAsia="Calibri" w:hAnsi="Times New Roman" w:cs="Times New Roman"/>
          <w:sz w:val="24"/>
          <w:szCs w:val="24"/>
          <w:lang w:val="en-CA"/>
        </w:rPr>
        <w:t>ourse offering</w:t>
      </w:r>
      <w:r>
        <w:rPr>
          <w:rFonts w:ascii="Times New Roman" w:eastAsia="Calibri" w:hAnsi="Times New Roman" w:cs="Times New Roman"/>
          <w:sz w:val="24"/>
          <w:szCs w:val="24"/>
          <w:lang w:val="en-CA"/>
        </w:rPr>
        <w:t>s were</w:t>
      </w:r>
      <w:r w:rsidRPr="0061457E">
        <w:rPr>
          <w:rFonts w:ascii="Times New Roman" w:eastAsia="Calibri" w:hAnsi="Times New Roman" w:cs="Times New Roman"/>
          <w:sz w:val="24"/>
          <w:szCs w:val="24"/>
          <w:lang w:val="en-CA"/>
        </w:rPr>
        <w:t xml:space="preserve"> made in more than one forma</w:t>
      </w:r>
      <w:r>
        <w:rPr>
          <w:rFonts w:ascii="Times New Roman" w:eastAsia="Calibri" w:hAnsi="Times New Roman" w:cs="Times New Roman"/>
          <w:sz w:val="24"/>
          <w:szCs w:val="24"/>
          <w:lang w:val="en-CA"/>
        </w:rPr>
        <w:t>t</w:t>
      </w:r>
      <w:r w:rsidRPr="0061457E">
        <w:rPr>
          <w:rFonts w:ascii="Times New Roman" w:eastAsia="Calibri" w:hAnsi="Times New Roman" w:cs="Times New Roman"/>
          <w:sz w:val="24"/>
          <w:szCs w:val="24"/>
          <w:lang w:val="en-CA"/>
        </w:rPr>
        <w:t xml:space="preserve"> that provided multiple means of representation (Fig. 1, Green section); for example, synchronous lessons, interaction with the course material, instructors, and peers both synchronously and asynchronously. UDL also informed multiple ways to motivate students to learn through multiple means of engagement (Fig.1, Purple section). Some of these </w:t>
      </w:r>
      <w:r>
        <w:rPr>
          <w:rFonts w:ascii="Times New Roman" w:eastAsia="Calibri" w:hAnsi="Times New Roman" w:cs="Times New Roman"/>
          <w:sz w:val="24"/>
          <w:szCs w:val="24"/>
          <w:lang w:val="en-CA"/>
        </w:rPr>
        <w:t>were</w:t>
      </w:r>
      <w:r w:rsidRPr="0061457E">
        <w:rPr>
          <w:rFonts w:ascii="Times New Roman" w:eastAsia="Calibri" w:hAnsi="Times New Roman" w:cs="Times New Roman"/>
          <w:sz w:val="24"/>
          <w:szCs w:val="24"/>
          <w:lang w:val="en-CA"/>
        </w:rPr>
        <w:t xml:space="preserve"> office hours, peer and mentor support, </w:t>
      </w:r>
      <w:r>
        <w:rPr>
          <w:rFonts w:ascii="Times New Roman" w:eastAsia="Calibri" w:hAnsi="Times New Roman" w:cs="Times New Roman"/>
          <w:sz w:val="24"/>
          <w:szCs w:val="24"/>
          <w:lang w:val="en-CA"/>
        </w:rPr>
        <w:t xml:space="preserve">and </w:t>
      </w:r>
      <w:r w:rsidRPr="0061457E">
        <w:rPr>
          <w:rFonts w:ascii="Times New Roman" w:eastAsia="Calibri" w:hAnsi="Times New Roman" w:cs="Times New Roman"/>
          <w:sz w:val="24"/>
          <w:szCs w:val="24"/>
          <w:lang w:val="en-CA"/>
        </w:rPr>
        <w:t xml:space="preserve">synchronous participation on Google docs. </w:t>
      </w:r>
      <w:r>
        <w:rPr>
          <w:rFonts w:ascii="Times New Roman" w:eastAsia="Calibri" w:hAnsi="Times New Roman" w:cs="Times New Roman"/>
          <w:sz w:val="24"/>
          <w:szCs w:val="24"/>
          <w:lang w:val="en-CA"/>
        </w:rPr>
        <w:t>C</w:t>
      </w:r>
      <w:r w:rsidRPr="0061457E">
        <w:rPr>
          <w:rFonts w:ascii="Times New Roman" w:eastAsia="Calibri" w:hAnsi="Times New Roman" w:cs="Times New Roman"/>
          <w:sz w:val="24"/>
          <w:szCs w:val="24"/>
          <w:lang w:val="en-CA"/>
        </w:rPr>
        <w:t>areful deliberation also ensure</w:t>
      </w:r>
      <w:r>
        <w:rPr>
          <w:rFonts w:ascii="Times New Roman" w:eastAsia="Calibri" w:hAnsi="Times New Roman" w:cs="Times New Roman"/>
          <w:sz w:val="24"/>
          <w:szCs w:val="24"/>
          <w:lang w:val="en-CA"/>
        </w:rPr>
        <w:t>d</w:t>
      </w:r>
      <w:r w:rsidRPr="0061457E">
        <w:rPr>
          <w:rFonts w:ascii="Times New Roman" w:eastAsia="Calibri" w:hAnsi="Times New Roman" w:cs="Times New Roman"/>
          <w:sz w:val="24"/>
          <w:szCs w:val="24"/>
          <w:lang w:val="en-CA"/>
        </w:rPr>
        <w:t xml:space="preserve"> learners know, are able</w:t>
      </w:r>
      <w:r>
        <w:rPr>
          <w:rFonts w:ascii="Times New Roman" w:eastAsia="Calibri" w:hAnsi="Times New Roman" w:cs="Times New Roman"/>
          <w:sz w:val="24"/>
          <w:szCs w:val="24"/>
          <w:lang w:val="en-CA"/>
        </w:rPr>
        <w:t xml:space="preserve"> to</w:t>
      </w:r>
      <w:r w:rsidRPr="0061457E">
        <w:rPr>
          <w:rFonts w:ascii="Times New Roman" w:eastAsia="Calibri" w:hAnsi="Times New Roman" w:cs="Times New Roman"/>
          <w:sz w:val="24"/>
          <w:szCs w:val="24"/>
          <w:lang w:val="en-CA"/>
        </w:rPr>
        <w:t>, and value learning through multiple means of action and expression</w:t>
      </w:r>
      <w:r>
        <w:rPr>
          <w:rFonts w:ascii="Times New Roman" w:eastAsia="Calibri" w:hAnsi="Times New Roman" w:cs="Times New Roman"/>
          <w:sz w:val="24"/>
          <w:szCs w:val="24"/>
          <w:lang w:val="en-CA"/>
        </w:rPr>
        <w:t>;</w:t>
      </w:r>
      <w:r w:rsidRPr="0061457E">
        <w:rPr>
          <w:rFonts w:ascii="Times New Roman" w:eastAsia="Calibri" w:hAnsi="Times New Roman" w:cs="Times New Roman"/>
          <w:sz w:val="24"/>
          <w:szCs w:val="24"/>
          <w:lang w:val="en-CA"/>
        </w:rPr>
        <w:t xml:space="preserve"> </w:t>
      </w:r>
      <w:r w:rsidRPr="0061457E">
        <w:rPr>
          <w:rFonts w:ascii="Times New Roman" w:eastAsia="Calibri" w:hAnsi="Times New Roman" w:cs="Times New Roman"/>
          <w:sz w:val="24"/>
          <w:szCs w:val="24"/>
          <w:lang w:val="en-CA"/>
        </w:rPr>
        <w:lastRenderedPageBreak/>
        <w:t>for example, short quizzes during synchronous lesson</w:t>
      </w:r>
      <w:r>
        <w:rPr>
          <w:rFonts w:ascii="Times New Roman" w:eastAsia="Calibri" w:hAnsi="Times New Roman" w:cs="Times New Roman"/>
          <w:sz w:val="24"/>
          <w:szCs w:val="24"/>
          <w:lang w:val="en-CA"/>
        </w:rPr>
        <w:t>s</w:t>
      </w:r>
      <w:r w:rsidRPr="0061457E">
        <w:rPr>
          <w:rFonts w:ascii="Times New Roman" w:eastAsia="Calibri" w:hAnsi="Times New Roman" w:cs="Times New Roman"/>
          <w:sz w:val="24"/>
          <w:szCs w:val="24"/>
          <w:lang w:val="en-CA"/>
        </w:rPr>
        <w:t xml:space="preserve">, module quizzes on Moodle, individual assignments, team and group assignments in both written and spoken formats. </w:t>
      </w:r>
    </w:p>
    <w:p w14:paraId="371721A6" w14:textId="77777777" w:rsidR="00511512" w:rsidRPr="0061457E" w:rsidRDefault="00511512" w:rsidP="00511512">
      <w:pPr>
        <w:spacing w:line="276" w:lineRule="auto"/>
        <w:rPr>
          <w:rFonts w:ascii="Times New Roman" w:eastAsia="Calibri" w:hAnsi="Times New Roman" w:cs="Times New Roman"/>
          <w:sz w:val="24"/>
          <w:szCs w:val="24"/>
          <w:lang w:val="en-CA"/>
        </w:rPr>
      </w:pPr>
      <w:r>
        <w:rPr>
          <w:rFonts w:ascii="Times New Roman" w:eastAsia="Calibri" w:hAnsi="Times New Roman" w:cs="Times New Roman"/>
          <w:sz w:val="24"/>
          <w:szCs w:val="24"/>
          <w:lang w:val="en-CA"/>
        </w:rPr>
        <w:t>While participants attended the program from Pakistan, and the timetable ran according to the Pakistan Standard Time, instructors joined</w:t>
      </w:r>
      <w:r w:rsidRPr="0061457E">
        <w:rPr>
          <w:rFonts w:ascii="Times New Roman" w:eastAsia="Calibri" w:hAnsi="Times New Roman" w:cs="Times New Roman"/>
          <w:sz w:val="24"/>
          <w:szCs w:val="24"/>
          <w:lang w:val="en-CA"/>
        </w:rPr>
        <w:t xml:space="preserve"> from A</w:t>
      </w:r>
      <w:r>
        <w:rPr>
          <w:rFonts w:ascii="Times New Roman" w:eastAsia="Calibri" w:hAnsi="Times New Roman" w:cs="Times New Roman"/>
          <w:sz w:val="24"/>
          <w:szCs w:val="24"/>
          <w:lang w:val="en-CA"/>
        </w:rPr>
        <w:t xml:space="preserve">tlantic </w:t>
      </w:r>
      <w:r w:rsidRPr="0061457E">
        <w:rPr>
          <w:rFonts w:ascii="Times New Roman" w:eastAsia="Calibri" w:hAnsi="Times New Roman" w:cs="Times New Roman"/>
          <w:sz w:val="24"/>
          <w:szCs w:val="24"/>
          <w:lang w:val="en-CA"/>
        </w:rPr>
        <w:t>S</w:t>
      </w:r>
      <w:r>
        <w:rPr>
          <w:rFonts w:ascii="Times New Roman" w:eastAsia="Calibri" w:hAnsi="Times New Roman" w:cs="Times New Roman"/>
          <w:sz w:val="24"/>
          <w:szCs w:val="24"/>
          <w:lang w:val="en-CA"/>
        </w:rPr>
        <w:t xml:space="preserve">tandard </w:t>
      </w:r>
      <w:r w:rsidRPr="0061457E">
        <w:rPr>
          <w:rFonts w:ascii="Times New Roman" w:eastAsia="Calibri" w:hAnsi="Times New Roman" w:cs="Times New Roman"/>
          <w:sz w:val="24"/>
          <w:szCs w:val="24"/>
          <w:lang w:val="en-CA"/>
        </w:rPr>
        <w:t>T</w:t>
      </w:r>
      <w:r>
        <w:rPr>
          <w:rFonts w:ascii="Times New Roman" w:eastAsia="Calibri" w:hAnsi="Times New Roman" w:cs="Times New Roman"/>
          <w:sz w:val="24"/>
          <w:szCs w:val="24"/>
          <w:lang w:val="en-CA"/>
        </w:rPr>
        <w:t>ime</w:t>
      </w:r>
      <w:r w:rsidRPr="0061457E">
        <w:rPr>
          <w:rFonts w:ascii="Times New Roman" w:eastAsia="Calibri" w:hAnsi="Times New Roman" w:cs="Times New Roman"/>
          <w:sz w:val="24"/>
          <w:szCs w:val="24"/>
          <w:lang w:val="en-CA"/>
        </w:rPr>
        <w:t xml:space="preserve"> (NS, Canada), M</w:t>
      </w:r>
      <w:r>
        <w:rPr>
          <w:rFonts w:ascii="Times New Roman" w:eastAsia="Calibri" w:hAnsi="Times New Roman" w:cs="Times New Roman"/>
          <w:sz w:val="24"/>
          <w:szCs w:val="24"/>
          <w:lang w:val="en-CA"/>
        </w:rPr>
        <w:t xml:space="preserve">ountain </w:t>
      </w:r>
      <w:r w:rsidRPr="0061457E">
        <w:rPr>
          <w:rFonts w:ascii="Times New Roman" w:eastAsia="Calibri" w:hAnsi="Times New Roman" w:cs="Times New Roman"/>
          <w:sz w:val="24"/>
          <w:szCs w:val="24"/>
          <w:lang w:val="en-CA"/>
        </w:rPr>
        <w:t>S</w:t>
      </w:r>
      <w:r>
        <w:rPr>
          <w:rFonts w:ascii="Times New Roman" w:eastAsia="Calibri" w:hAnsi="Times New Roman" w:cs="Times New Roman"/>
          <w:sz w:val="24"/>
          <w:szCs w:val="24"/>
          <w:lang w:val="en-CA"/>
        </w:rPr>
        <w:t xml:space="preserve">tandard </w:t>
      </w:r>
      <w:r w:rsidRPr="0061457E">
        <w:rPr>
          <w:rFonts w:ascii="Times New Roman" w:eastAsia="Calibri" w:hAnsi="Times New Roman" w:cs="Times New Roman"/>
          <w:sz w:val="24"/>
          <w:szCs w:val="24"/>
          <w:lang w:val="en-CA"/>
        </w:rPr>
        <w:t>T</w:t>
      </w:r>
      <w:r>
        <w:rPr>
          <w:rFonts w:ascii="Times New Roman" w:eastAsia="Calibri" w:hAnsi="Times New Roman" w:cs="Times New Roman"/>
          <w:sz w:val="24"/>
          <w:szCs w:val="24"/>
          <w:lang w:val="en-CA"/>
        </w:rPr>
        <w:t>ime</w:t>
      </w:r>
      <w:r w:rsidRPr="0061457E">
        <w:rPr>
          <w:rFonts w:ascii="Times New Roman" w:eastAsia="Calibri" w:hAnsi="Times New Roman" w:cs="Times New Roman"/>
          <w:sz w:val="24"/>
          <w:szCs w:val="24"/>
          <w:lang w:val="en-CA"/>
        </w:rPr>
        <w:t xml:space="preserve"> (Utah, US</w:t>
      </w:r>
      <w:r>
        <w:rPr>
          <w:rFonts w:ascii="Times New Roman" w:eastAsia="Calibri" w:hAnsi="Times New Roman" w:cs="Times New Roman"/>
          <w:sz w:val="24"/>
          <w:szCs w:val="24"/>
          <w:lang w:val="en-CA"/>
        </w:rPr>
        <w:t>A</w:t>
      </w:r>
      <w:r w:rsidRPr="0061457E">
        <w:rPr>
          <w:rFonts w:ascii="Times New Roman" w:eastAsia="Calibri" w:hAnsi="Times New Roman" w:cs="Times New Roman"/>
          <w:sz w:val="24"/>
          <w:szCs w:val="24"/>
          <w:lang w:val="en-CA"/>
        </w:rPr>
        <w:t>)</w:t>
      </w:r>
      <w:r>
        <w:rPr>
          <w:rFonts w:ascii="Times New Roman" w:eastAsia="Calibri" w:hAnsi="Times New Roman" w:cs="Times New Roman"/>
          <w:sz w:val="24"/>
          <w:szCs w:val="24"/>
          <w:lang w:val="en-CA"/>
        </w:rPr>
        <w:t xml:space="preserve">, </w:t>
      </w:r>
      <w:r w:rsidRPr="0061457E">
        <w:rPr>
          <w:rFonts w:ascii="Times New Roman" w:eastAsia="Calibri" w:hAnsi="Times New Roman" w:cs="Times New Roman"/>
          <w:sz w:val="24"/>
          <w:szCs w:val="24"/>
          <w:lang w:val="en-CA"/>
        </w:rPr>
        <w:t xml:space="preserve">GMT and Pakistan Standard Time. The course was designed </w:t>
      </w:r>
      <w:r>
        <w:rPr>
          <w:rFonts w:ascii="Times New Roman" w:eastAsia="Calibri" w:hAnsi="Times New Roman" w:cs="Times New Roman"/>
          <w:sz w:val="24"/>
          <w:szCs w:val="24"/>
          <w:lang w:val="en-CA"/>
        </w:rPr>
        <w:t>with some inherent</w:t>
      </w:r>
      <w:r w:rsidRPr="0061457E">
        <w:rPr>
          <w:rFonts w:ascii="Times New Roman" w:eastAsia="Calibri" w:hAnsi="Times New Roman" w:cs="Times New Roman"/>
          <w:sz w:val="24"/>
          <w:szCs w:val="24"/>
          <w:lang w:val="en-CA"/>
        </w:rPr>
        <w:t xml:space="preserve"> flexib</w:t>
      </w:r>
      <w:r>
        <w:rPr>
          <w:rFonts w:ascii="Times New Roman" w:eastAsia="Calibri" w:hAnsi="Times New Roman" w:cs="Times New Roman"/>
          <w:sz w:val="24"/>
          <w:szCs w:val="24"/>
          <w:lang w:val="en-CA"/>
        </w:rPr>
        <w:t>ility for</w:t>
      </w:r>
      <w:r w:rsidRPr="0061457E">
        <w:rPr>
          <w:rFonts w:ascii="Times New Roman" w:eastAsia="Calibri" w:hAnsi="Times New Roman" w:cs="Times New Roman"/>
          <w:sz w:val="24"/>
          <w:szCs w:val="24"/>
          <w:lang w:val="en-CA"/>
        </w:rPr>
        <w:t xml:space="preserve"> time </w:t>
      </w:r>
      <w:r>
        <w:rPr>
          <w:rFonts w:ascii="Times New Roman" w:eastAsia="Calibri" w:hAnsi="Times New Roman" w:cs="Times New Roman"/>
          <w:sz w:val="24"/>
          <w:szCs w:val="24"/>
          <w:lang w:val="en-CA"/>
        </w:rPr>
        <w:t xml:space="preserve">for this reason, as well as to be </w:t>
      </w:r>
      <w:r w:rsidRPr="00063A72">
        <w:rPr>
          <w:rFonts w:ascii="Times New Roman" w:eastAsia="Calibri" w:hAnsi="Times New Roman" w:cs="Times New Roman"/>
          <w:sz w:val="24"/>
          <w:szCs w:val="24"/>
          <w:lang w:val="en-CA"/>
        </w:rPr>
        <w:t xml:space="preserve">inclusive and accessible </w:t>
      </w:r>
      <w:r>
        <w:rPr>
          <w:rFonts w:ascii="Times New Roman" w:eastAsia="Calibri" w:hAnsi="Times New Roman" w:cs="Times New Roman"/>
          <w:sz w:val="24"/>
          <w:szCs w:val="24"/>
          <w:lang w:val="en-CA"/>
        </w:rPr>
        <w:t>for</w:t>
      </w:r>
      <w:r w:rsidRPr="00063A72">
        <w:rPr>
          <w:rFonts w:ascii="Times New Roman" w:eastAsia="Calibri" w:hAnsi="Times New Roman" w:cs="Times New Roman"/>
          <w:sz w:val="24"/>
          <w:szCs w:val="24"/>
          <w:lang w:val="en-CA"/>
        </w:rPr>
        <w:t xml:space="preserve"> learners</w:t>
      </w:r>
      <w:r>
        <w:rPr>
          <w:rFonts w:ascii="Times New Roman" w:eastAsia="Calibri" w:hAnsi="Times New Roman" w:cs="Times New Roman"/>
          <w:sz w:val="24"/>
          <w:szCs w:val="24"/>
          <w:lang w:val="en-CA"/>
        </w:rPr>
        <w:t>, such as making adjustments to the schedule during the month of Ramadan. This was</w:t>
      </w:r>
      <w:r w:rsidRPr="0061457E">
        <w:rPr>
          <w:rFonts w:ascii="Times New Roman" w:eastAsia="Calibri" w:hAnsi="Times New Roman" w:cs="Times New Roman"/>
          <w:sz w:val="24"/>
          <w:szCs w:val="24"/>
          <w:lang w:val="en-CA"/>
        </w:rPr>
        <w:t xml:space="preserve"> challenging due to the length </w:t>
      </w:r>
      <w:r>
        <w:rPr>
          <w:rFonts w:ascii="Times New Roman" w:eastAsia="Calibri" w:hAnsi="Times New Roman" w:cs="Times New Roman"/>
          <w:sz w:val="24"/>
          <w:szCs w:val="24"/>
          <w:lang w:val="en-CA"/>
        </w:rPr>
        <w:t>o</w:t>
      </w:r>
      <w:r w:rsidRPr="0061457E">
        <w:rPr>
          <w:rFonts w:ascii="Times New Roman" w:eastAsia="Calibri" w:hAnsi="Times New Roman" w:cs="Times New Roman"/>
          <w:sz w:val="24"/>
          <w:szCs w:val="24"/>
          <w:lang w:val="en-CA"/>
        </w:rPr>
        <w:t xml:space="preserve">f the course itself. </w:t>
      </w:r>
    </w:p>
    <w:p w14:paraId="0D72B712" w14:textId="77777777" w:rsidR="00511512" w:rsidRPr="0061457E" w:rsidRDefault="00511512" w:rsidP="00511512">
      <w:pPr>
        <w:spacing w:line="276" w:lineRule="auto"/>
        <w:jc w:val="center"/>
        <w:rPr>
          <w:rFonts w:ascii="Times New Roman" w:hAnsi="Times New Roman" w:cs="Times New Roman"/>
          <w:sz w:val="24"/>
          <w:szCs w:val="24"/>
        </w:rPr>
      </w:pPr>
      <w:r>
        <w:rPr>
          <w:noProof/>
          <w:lang w:val="en-GB" w:eastAsia="en-GB"/>
        </w:rPr>
        <w:drawing>
          <wp:inline distT="0" distB="0" distL="0" distR="0" wp14:anchorId="72D93A75" wp14:editId="12A489A0">
            <wp:extent cx="3028990" cy="2970896"/>
            <wp:effectExtent l="0" t="0" r="0" b="0"/>
            <wp:docPr id="1035152105" name="Picture 1035152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152105"/>
                    <pic:cNvPicPr/>
                  </pic:nvPicPr>
                  <pic:blipFill>
                    <a:blip r:embed="rId12">
                      <a:extLst>
                        <a:ext uri="{28A0092B-C50C-407E-A947-70E740481C1C}">
                          <a14:useLocalDpi xmlns:a14="http://schemas.microsoft.com/office/drawing/2010/main" val="0"/>
                        </a:ext>
                      </a:extLst>
                    </a:blip>
                    <a:srcRect l="16344" t="6956" r="15268" b="2898"/>
                    <a:stretch>
                      <a:fillRect/>
                    </a:stretch>
                  </pic:blipFill>
                  <pic:spPr>
                    <a:xfrm>
                      <a:off x="0" y="0"/>
                      <a:ext cx="3028990" cy="2970896"/>
                    </a:xfrm>
                    <a:prstGeom prst="rect">
                      <a:avLst/>
                    </a:prstGeom>
                  </pic:spPr>
                </pic:pic>
              </a:graphicData>
            </a:graphic>
          </wp:inline>
        </w:drawing>
      </w:r>
    </w:p>
    <w:p w14:paraId="04E5F83F" w14:textId="77777777" w:rsidR="00511512" w:rsidRPr="004035B8" w:rsidRDefault="00511512" w:rsidP="00511512">
      <w:pPr>
        <w:spacing w:line="276" w:lineRule="auto"/>
        <w:rPr>
          <w:rFonts w:ascii="Times New Roman" w:eastAsia="Calibri" w:hAnsi="Times New Roman" w:cs="Times New Roman"/>
          <w:sz w:val="24"/>
          <w:szCs w:val="24"/>
          <w:lang w:val="en-CA"/>
        </w:rPr>
      </w:pPr>
      <w:r w:rsidRPr="0051329C">
        <w:rPr>
          <w:rFonts w:ascii="Times New Roman" w:hAnsi="Times New Roman" w:cs="Times New Roman"/>
          <w:b/>
          <w:bCs/>
          <w:noProof/>
          <w:sz w:val="24"/>
          <w:szCs w:val="24"/>
          <w:lang w:val="en-GB" w:eastAsia="en-GB"/>
        </w:rPr>
        <mc:AlternateContent>
          <mc:Choice Requires="wps">
            <w:drawing>
              <wp:inline distT="0" distB="0" distL="0" distR="0" wp14:anchorId="4D4080FD" wp14:editId="3EA136C9">
                <wp:extent cx="5788325" cy="1404620"/>
                <wp:effectExtent l="0" t="0" r="22225" b="2349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325" cy="1404620"/>
                        </a:xfrm>
                        <a:prstGeom prst="rect">
                          <a:avLst/>
                        </a:prstGeom>
                        <a:solidFill>
                          <a:srgbClr val="FFFFFF"/>
                        </a:solidFill>
                        <a:ln w="9525">
                          <a:solidFill>
                            <a:srgbClr val="000000"/>
                          </a:solidFill>
                          <a:miter lim="800000"/>
                          <a:headEnd/>
                          <a:tailEnd/>
                        </a:ln>
                      </wps:spPr>
                      <wps:txbx>
                        <w:txbxContent>
                          <w:p w14:paraId="6C383BF8" w14:textId="77777777" w:rsidR="00511512" w:rsidRPr="00CE0D80" w:rsidRDefault="00511512" w:rsidP="00511512">
                            <w:pPr>
                              <w:spacing w:line="276" w:lineRule="auto"/>
                              <w:jc w:val="center"/>
                              <w:rPr>
                                <w:rFonts w:ascii="Times New Roman" w:hAnsi="Times New Roman" w:cs="Times New Roman"/>
                                <w:sz w:val="24"/>
                                <w:szCs w:val="24"/>
                              </w:rPr>
                            </w:pPr>
                            <w:r w:rsidRPr="0061457E">
                              <w:rPr>
                                <w:rFonts w:ascii="Times New Roman" w:hAnsi="Times New Roman" w:cs="Times New Roman"/>
                                <w:b/>
                                <w:bCs/>
                                <w:sz w:val="24"/>
                                <w:szCs w:val="24"/>
                              </w:rPr>
                              <w:t>Figure 1:</w:t>
                            </w:r>
                            <w:r w:rsidRPr="0061457E">
                              <w:rPr>
                                <w:rFonts w:ascii="Times New Roman" w:hAnsi="Times New Roman" w:cs="Times New Roman"/>
                                <w:sz w:val="24"/>
                                <w:szCs w:val="24"/>
                              </w:rPr>
                              <w:t xml:space="preserve"> UDL as it was used for NFDP2020</w:t>
                            </w:r>
                            <w:r w:rsidRPr="004035B8">
                              <w:rPr>
                                <w:rFonts w:ascii="Times New Roman" w:hAnsi="Times New Roman" w:cs="Times New Roman"/>
                                <w:sz w:val="24"/>
                                <w:szCs w:val="24"/>
                              </w:rPr>
                              <w:t xml:space="preserve"> course design optimized the teaching &amp; learning by giving more choices throughout the process (Image by </w:t>
                            </w:r>
                            <w:proofErr w:type="spellStart"/>
                            <w:r w:rsidRPr="004035B8">
                              <w:rPr>
                                <w:rFonts w:ascii="Times New Roman" w:eastAsia="Calibri" w:hAnsi="Times New Roman" w:cs="Times New Roman"/>
                                <w:color w:val="000000" w:themeColor="text1"/>
                                <w:sz w:val="24"/>
                                <w:szCs w:val="24"/>
                              </w:rPr>
                              <w:t>Sebouh</w:t>
                            </w:r>
                            <w:proofErr w:type="spellEnd"/>
                            <w:r w:rsidRPr="004035B8">
                              <w:rPr>
                                <w:rFonts w:ascii="Times New Roman" w:eastAsia="Calibri" w:hAnsi="Times New Roman" w:cs="Times New Roman"/>
                                <w:color w:val="000000" w:themeColor="text1"/>
                                <w:sz w:val="24"/>
                                <w:szCs w:val="24"/>
                              </w:rPr>
                              <w:t xml:space="preserve"> J. </w:t>
                            </w:r>
                            <w:proofErr w:type="spellStart"/>
                            <w:r w:rsidRPr="004035B8">
                              <w:rPr>
                                <w:rFonts w:ascii="Times New Roman" w:eastAsia="Calibri" w:hAnsi="Times New Roman" w:cs="Times New Roman"/>
                                <w:color w:val="000000" w:themeColor="text1"/>
                                <w:sz w:val="24"/>
                                <w:szCs w:val="24"/>
                              </w:rPr>
                              <w:t>Serabian</w:t>
                            </w:r>
                            <w:proofErr w:type="spellEnd"/>
                            <w:r w:rsidRPr="004035B8">
                              <w:rPr>
                                <w:rFonts w:ascii="Times New Roman" w:eastAsia="Calibri" w:hAnsi="Times New Roman" w:cs="Times New Roman"/>
                                <w:color w:val="000000" w:themeColor="text1"/>
                                <w:sz w:val="24"/>
                                <w:szCs w:val="24"/>
                              </w:rPr>
                              <w:t>)</w:t>
                            </w:r>
                          </w:p>
                        </w:txbxContent>
                      </wps:txbx>
                      <wps:bodyPr rot="0" vert="horz" wrap="square" lIns="91440" tIns="45720" rIns="91440" bIns="45720" anchor="t" anchorCtr="0">
                        <a:spAutoFit/>
                      </wps:bodyPr>
                    </wps:wsp>
                  </a:graphicData>
                </a:graphic>
              </wp:inline>
            </w:drawing>
          </mc:Choice>
          <mc:Fallback>
            <w:pict>
              <v:shapetype w14:anchorId="4D4080FD" id="_x0000_t202" coordsize="21600,21600" o:spt="202" path="m,l,21600r21600,l21600,xe">
                <v:stroke joinstyle="miter"/>
                <v:path gradientshapeok="t" o:connecttype="rect"/>
              </v:shapetype>
              <v:shape id="Text Box 2" o:spid="_x0000_s1026" type="#_x0000_t202" style="width:455.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">
                <v:textbox style="mso-fit-shape-to-text:t">
                  <w:txbxContent>
                    <w:p w14:paraId="6C383BF8" w14:textId="77777777" w:rsidR="00511512" w:rsidRPr="00CE0D80" w:rsidRDefault="00511512" w:rsidP="00511512">
                      <w:pPr>
                        <w:spacing w:line="276" w:lineRule="auto"/>
                        <w:jc w:val="center"/>
                        <w:rPr>
                          <w:rFonts w:ascii="Times New Roman" w:hAnsi="Times New Roman" w:cs="Times New Roman"/>
                          <w:sz w:val="24"/>
                          <w:szCs w:val="24"/>
                        </w:rPr>
                      </w:pPr>
                      <w:r w:rsidRPr="0061457E">
                        <w:rPr>
                          <w:rFonts w:ascii="Times New Roman" w:hAnsi="Times New Roman" w:cs="Times New Roman"/>
                          <w:b/>
                          <w:bCs/>
                          <w:sz w:val="24"/>
                          <w:szCs w:val="24"/>
                        </w:rPr>
                        <w:t>Figure 1:</w:t>
                      </w:r>
                      <w:r w:rsidRPr="0061457E">
                        <w:rPr>
                          <w:rFonts w:ascii="Times New Roman" w:hAnsi="Times New Roman" w:cs="Times New Roman"/>
                          <w:sz w:val="24"/>
                          <w:szCs w:val="24"/>
                        </w:rPr>
                        <w:t xml:space="preserve"> UDL as it was used for NFDP2020</w:t>
                      </w:r>
                      <w:r w:rsidRPr="004035B8">
                        <w:rPr>
                          <w:rFonts w:ascii="Times New Roman" w:hAnsi="Times New Roman" w:cs="Times New Roman"/>
                          <w:sz w:val="24"/>
                          <w:szCs w:val="24"/>
                        </w:rPr>
                        <w:t xml:space="preserve"> course design optimized the teaching &amp; learning by giving more choices throughout the process (Image by </w:t>
                      </w:r>
                      <w:proofErr w:type="spellStart"/>
                      <w:r w:rsidRPr="004035B8">
                        <w:rPr>
                          <w:rFonts w:ascii="Times New Roman" w:eastAsia="Calibri" w:hAnsi="Times New Roman" w:cs="Times New Roman"/>
                          <w:color w:val="000000" w:themeColor="text1"/>
                          <w:sz w:val="24"/>
                          <w:szCs w:val="24"/>
                        </w:rPr>
                        <w:t>Sebouh</w:t>
                      </w:r>
                      <w:proofErr w:type="spellEnd"/>
                      <w:r w:rsidRPr="004035B8">
                        <w:rPr>
                          <w:rFonts w:ascii="Times New Roman" w:eastAsia="Calibri" w:hAnsi="Times New Roman" w:cs="Times New Roman"/>
                          <w:color w:val="000000" w:themeColor="text1"/>
                          <w:sz w:val="24"/>
                          <w:szCs w:val="24"/>
                        </w:rPr>
                        <w:t xml:space="preserve"> J. </w:t>
                      </w:r>
                      <w:proofErr w:type="spellStart"/>
                      <w:r w:rsidRPr="004035B8">
                        <w:rPr>
                          <w:rFonts w:ascii="Times New Roman" w:eastAsia="Calibri" w:hAnsi="Times New Roman" w:cs="Times New Roman"/>
                          <w:color w:val="000000" w:themeColor="text1"/>
                          <w:sz w:val="24"/>
                          <w:szCs w:val="24"/>
                        </w:rPr>
                        <w:t>Serabian</w:t>
                      </w:r>
                      <w:proofErr w:type="spellEnd"/>
                      <w:r w:rsidRPr="004035B8">
                        <w:rPr>
                          <w:rFonts w:ascii="Times New Roman" w:eastAsia="Calibri" w:hAnsi="Times New Roman" w:cs="Times New Roman"/>
                          <w:color w:val="000000" w:themeColor="text1"/>
                          <w:sz w:val="24"/>
                          <w:szCs w:val="24"/>
                        </w:rPr>
                        <w:t>)</w:t>
                      </w:r>
                    </w:p>
                  </w:txbxContent>
                </v:textbox>
                <w10:anchorlock/>
              </v:shape>
            </w:pict>
          </mc:Fallback>
        </mc:AlternateContent>
      </w:r>
      <w:r>
        <w:rPr>
          <w:rFonts w:ascii="Times New Roman" w:eastAsia="Calibri" w:hAnsi="Times New Roman" w:cs="Times New Roman"/>
          <w:sz w:val="24"/>
          <w:szCs w:val="24"/>
          <w:lang w:val="en-CA"/>
        </w:rPr>
        <w:t>F</w:t>
      </w:r>
      <w:r w:rsidRPr="004035B8">
        <w:rPr>
          <w:rFonts w:ascii="Times New Roman" w:eastAsia="Calibri" w:hAnsi="Times New Roman" w:cs="Times New Roman"/>
          <w:sz w:val="24"/>
          <w:szCs w:val="24"/>
          <w:lang w:val="en-CA"/>
        </w:rPr>
        <w:t>ive</w:t>
      </w:r>
      <w:r>
        <w:rPr>
          <w:rFonts w:ascii="Times New Roman" w:eastAsia="Calibri" w:hAnsi="Times New Roman" w:cs="Times New Roman"/>
          <w:sz w:val="24"/>
          <w:szCs w:val="24"/>
          <w:lang w:val="en-CA"/>
        </w:rPr>
        <w:t xml:space="preserve"> </w:t>
      </w:r>
      <w:r w:rsidRPr="004035B8">
        <w:rPr>
          <w:rFonts w:ascii="Times New Roman" w:eastAsia="Calibri" w:hAnsi="Times New Roman" w:cs="Times New Roman"/>
          <w:sz w:val="24"/>
          <w:szCs w:val="24"/>
          <w:lang w:val="en-CA"/>
        </w:rPr>
        <w:t xml:space="preserve">principles </w:t>
      </w:r>
      <w:r>
        <w:rPr>
          <w:rFonts w:ascii="Times New Roman" w:eastAsia="Calibri" w:hAnsi="Times New Roman" w:cs="Times New Roman"/>
          <w:sz w:val="24"/>
          <w:szCs w:val="24"/>
          <w:lang w:val="en-CA"/>
        </w:rPr>
        <w:t xml:space="preserve">of universal instructional design </w:t>
      </w:r>
      <w:r w:rsidRPr="004035B8">
        <w:rPr>
          <w:rFonts w:ascii="Times New Roman" w:eastAsia="Calibri" w:hAnsi="Times New Roman" w:cs="Times New Roman"/>
          <w:sz w:val="24"/>
          <w:szCs w:val="24"/>
          <w:lang w:val="en-CA"/>
        </w:rPr>
        <w:t>were adhered to: (</w:t>
      </w:r>
      <w:proofErr w:type="spellStart"/>
      <w:r w:rsidRPr="004035B8">
        <w:rPr>
          <w:rFonts w:ascii="Times New Roman" w:eastAsia="Calibri" w:hAnsi="Times New Roman" w:cs="Times New Roman"/>
          <w:sz w:val="24"/>
          <w:szCs w:val="24"/>
          <w:lang w:val="en-CA"/>
        </w:rPr>
        <w:t>i</w:t>
      </w:r>
      <w:proofErr w:type="spellEnd"/>
      <w:r w:rsidRPr="004035B8">
        <w:rPr>
          <w:rFonts w:ascii="Times New Roman" w:eastAsia="Calibri" w:hAnsi="Times New Roman" w:cs="Times New Roman"/>
          <w:sz w:val="24"/>
          <w:szCs w:val="24"/>
          <w:lang w:val="en-CA"/>
        </w:rPr>
        <w:t>) accessibility to the content before, during, and after the course (ii) consistency in presentation of the content (iii) flexibility in</w:t>
      </w:r>
      <w:r>
        <w:rPr>
          <w:rFonts w:ascii="Times New Roman" w:eastAsia="Calibri" w:hAnsi="Times New Roman" w:cs="Times New Roman"/>
          <w:sz w:val="24"/>
          <w:szCs w:val="24"/>
          <w:lang w:val="en-CA"/>
        </w:rPr>
        <w:t xml:space="preserve"> the</w:t>
      </w:r>
      <w:r w:rsidRPr="004035B8">
        <w:rPr>
          <w:rFonts w:ascii="Times New Roman" w:eastAsia="Calibri" w:hAnsi="Times New Roman" w:cs="Times New Roman"/>
          <w:sz w:val="24"/>
          <w:szCs w:val="24"/>
          <w:lang w:val="en-CA"/>
        </w:rPr>
        <w:t xml:space="preserve"> use, participation and presentation of the LMS (Moodle) and other platforms such as </w:t>
      </w:r>
      <w:r>
        <w:rPr>
          <w:rFonts w:ascii="Times New Roman" w:eastAsia="Calibri" w:hAnsi="Times New Roman" w:cs="Times New Roman"/>
          <w:sz w:val="24"/>
          <w:szCs w:val="24"/>
          <w:lang w:val="en-CA"/>
        </w:rPr>
        <w:t xml:space="preserve">Microsoft </w:t>
      </w:r>
      <w:r w:rsidRPr="004035B8">
        <w:rPr>
          <w:rFonts w:ascii="Times New Roman" w:eastAsia="Calibri" w:hAnsi="Times New Roman" w:cs="Times New Roman"/>
          <w:sz w:val="24"/>
          <w:szCs w:val="24"/>
          <w:lang w:val="en-CA"/>
        </w:rPr>
        <w:t>Teams and SharePoint (iv) provision of a supportive and intuitive learning environment through pre-course orientation to the online environment, and (v) an online learning space that accommodates both participating Fellows and instructional methods.</w:t>
      </w:r>
    </w:p>
    <w:p w14:paraId="0571400A" w14:textId="77777777" w:rsidR="00511512" w:rsidRDefault="00511512" w:rsidP="00511512">
      <w:pPr>
        <w:spacing w:line="276" w:lineRule="auto"/>
        <w:rPr>
          <w:rFonts w:ascii="Times New Roman" w:eastAsia="Calibri" w:hAnsi="Times New Roman" w:cs="Times New Roman"/>
          <w:sz w:val="24"/>
          <w:szCs w:val="24"/>
          <w:lang w:val="en-CA"/>
        </w:rPr>
      </w:pPr>
      <w:r>
        <w:rPr>
          <w:rFonts w:ascii="Times New Roman" w:eastAsia="Calibri" w:hAnsi="Times New Roman" w:cs="Times New Roman"/>
          <w:sz w:val="24"/>
          <w:szCs w:val="24"/>
          <w:lang w:val="en-CA"/>
        </w:rPr>
        <w:t>F</w:t>
      </w:r>
      <w:r w:rsidRPr="004035B8">
        <w:rPr>
          <w:rFonts w:ascii="Times New Roman" w:eastAsia="Calibri" w:hAnsi="Times New Roman" w:cs="Times New Roman"/>
          <w:sz w:val="24"/>
          <w:szCs w:val="24"/>
          <w:lang w:val="en-CA"/>
        </w:rPr>
        <w:t xml:space="preserve">or </w:t>
      </w:r>
      <w:r>
        <w:rPr>
          <w:rFonts w:ascii="Times New Roman" w:eastAsia="Calibri" w:hAnsi="Times New Roman" w:cs="Times New Roman"/>
          <w:sz w:val="24"/>
          <w:szCs w:val="24"/>
          <w:lang w:val="en-CA"/>
        </w:rPr>
        <w:t xml:space="preserve">course </w:t>
      </w:r>
      <w:r w:rsidRPr="004035B8">
        <w:rPr>
          <w:rFonts w:ascii="Times New Roman" w:eastAsia="Calibri" w:hAnsi="Times New Roman" w:cs="Times New Roman"/>
          <w:sz w:val="24"/>
          <w:szCs w:val="24"/>
          <w:lang w:val="en-CA"/>
        </w:rPr>
        <w:t>delivery, Universal Design of Instruction (UDI) was kept in mind. The lead instructional team planned carefully to accommodate the number of Fellows taking the course</w:t>
      </w:r>
      <w:r>
        <w:rPr>
          <w:rFonts w:ascii="Times New Roman" w:eastAsia="Calibri" w:hAnsi="Times New Roman" w:cs="Times New Roman"/>
          <w:sz w:val="24"/>
          <w:szCs w:val="24"/>
          <w:lang w:val="en-CA"/>
        </w:rPr>
        <w:t>, which</w:t>
      </w:r>
      <w:r w:rsidRPr="004035B8">
        <w:rPr>
          <w:rFonts w:ascii="Times New Roman" w:eastAsia="Calibri" w:hAnsi="Times New Roman" w:cs="Times New Roman"/>
          <w:sz w:val="24"/>
          <w:szCs w:val="24"/>
          <w:lang w:val="en-CA"/>
        </w:rPr>
        <w:t xml:space="preserve"> </w:t>
      </w:r>
      <w:r>
        <w:rPr>
          <w:rFonts w:ascii="Times New Roman" w:eastAsia="Calibri" w:hAnsi="Times New Roman" w:cs="Times New Roman"/>
          <w:sz w:val="24"/>
          <w:szCs w:val="24"/>
          <w:lang w:val="en-CA"/>
        </w:rPr>
        <w:t xml:space="preserve">was </w:t>
      </w:r>
      <w:r w:rsidRPr="004035B8">
        <w:rPr>
          <w:rFonts w:ascii="Times New Roman" w:eastAsia="Calibri" w:hAnsi="Times New Roman" w:cs="Times New Roman"/>
          <w:sz w:val="24"/>
          <w:szCs w:val="24"/>
          <w:lang w:val="en-CA"/>
        </w:rPr>
        <w:t>up to 150 Fellows</w:t>
      </w:r>
      <w:r>
        <w:rPr>
          <w:rFonts w:ascii="Times New Roman" w:eastAsia="Calibri" w:hAnsi="Times New Roman" w:cs="Times New Roman"/>
          <w:sz w:val="24"/>
          <w:szCs w:val="24"/>
          <w:lang w:val="en-CA"/>
        </w:rPr>
        <w:t xml:space="preserve"> at</w:t>
      </w:r>
      <w:r w:rsidRPr="004035B8">
        <w:rPr>
          <w:rFonts w:ascii="Times New Roman" w:eastAsia="Calibri" w:hAnsi="Times New Roman" w:cs="Times New Roman"/>
          <w:sz w:val="24"/>
          <w:szCs w:val="24"/>
          <w:lang w:val="en-CA"/>
        </w:rPr>
        <w:t xml:space="preserve"> one time. A purposeful effort was made to deliver the course </w:t>
      </w:r>
      <w:r>
        <w:rPr>
          <w:rFonts w:ascii="Times New Roman" w:eastAsia="Calibri" w:hAnsi="Times New Roman" w:cs="Times New Roman"/>
          <w:sz w:val="24"/>
          <w:szCs w:val="24"/>
          <w:lang w:val="en-CA"/>
        </w:rPr>
        <w:t>to ensure</w:t>
      </w:r>
      <w:r w:rsidRPr="004035B8">
        <w:rPr>
          <w:rFonts w:ascii="Times New Roman" w:eastAsia="Calibri" w:hAnsi="Times New Roman" w:cs="Times New Roman"/>
          <w:sz w:val="24"/>
          <w:szCs w:val="24"/>
          <w:lang w:val="en-CA"/>
        </w:rPr>
        <w:t xml:space="preserve"> Fellows </w:t>
      </w:r>
      <w:r>
        <w:rPr>
          <w:rFonts w:ascii="Times New Roman" w:eastAsia="Calibri" w:hAnsi="Times New Roman" w:cs="Times New Roman"/>
          <w:sz w:val="24"/>
          <w:szCs w:val="24"/>
          <w:lang w:val="en-CA"/>
        </w:rPr>
        <w:t xml:space="preserve">had a </w:t>
      </w:r>
      <w:r w:rsidRPr="004035B8">
        <w:rPr>
          <w:rFonts w:ascii="Times New Roman" w:eastAsia="Calibri" w:hAnsi="Times New Roman" w:cs="Times New Roman"/>
          <w:sz w:val="24"/>
          <w:szCs w:val="24"/>
          <w:lang w:val="en-CA"/>
        </w:rPr>
        <w:t xml:space="preserve">successful learning experience, and a </w:t>
      </w:r>
      <w:r>
        <w:rPr>
          <w:rFonts w:ascii="Times New Roman" w:eastAsia="Calibri" w:hAnsi="Times New Roman" w:cs="Times New Roman"/>
          <w:sz w:val="24"/>
          <w:szCs w:val="24"/>
          <w:lang w:val="en-CA"/>
        </w:rPr>
        <w:t>‘</w:t>
      </w:r>
      <w:r w:rsidRPr="004035B8">
        <w:rPr>
          <w:rFonts w:ascii="Times New Roman" w:eastAsia="Calibri" w:hAnsi="Times New Roman" w:cs="Times New Roman"/>
          <w:sz w:val="24"/>
          <w:szCs w:val="24"/>
          <w:lang w:val="en-CA"/>
        </w:rPr>
        <w:t>growth mindset</w:t>
      </w:r>
      <w:r>
        <w:rPr>
          <w:rFonts w:ascii="Times New Roman" w:eastAsia="Calibri" w:hAnsi="Times New Roman" w:cs="Times New Roman"/>
          <w:sz w:val="24"/>
          <w:szCs w:val="24"/>
          <w:lang w:val="en-CA"/>
        </w:rPr>
        <w:t>’</w:t>
      </w:r>
      <w:r w:rsidRPr="004035B8">
        <w:rPr>
          <w:rFonts w:ascii="Times New Roman" w:eastAsia="Calibri" w:hAnsi="Times New Roman" w:cs="Times New Roman"/>
          <w:sz w:val="24"/>
          <w:szCs w:val="24"/>
          <w:lang w:val="en-CA"/>
        </w:rPr>
        <w:t xml:space="preserve"> was adopted. According to Taylor et al (2019, p. 133) “a syllabus that signals belongingness, growth mindset, communal goals, clear and positive expectations, and success-orientation assists in setting a </w:t>
      </w:r>
      <w:r w:rsidRPr="004035B8">
        <w:rPr>
          <w:rFonts w:ascii="Times New Roman" w:eastAsia="Calibri" w:hAnsi="Times New Roman" w:cs="Times New Roman"/>
          <w:sz w:val="24"/>
          <w:szCs w:val="24"/>
          <w:lang w:val="en-CA"/>
        </w:rPr>
        <w:lastRenderedPageBreak/>
        <w:t xml:space="preserve">welcoming tone that leads to greater student achievement and engagement”. Instruction that is focused on growth mindset as opposed to a fixed mindset is success oriented. </w:t>
      </w:r>
    </w:p>
    <w:p w14:paraId="64B2671E" w14:textId="77777777" w:rsidR="00511512" w:rsidRDefault="00511512" w:rsidP="00511512">
      <w:pPr>
        <w:spacing w:line="276" w:lineRule="auto"/>
        <w:rPr>
          <w:rFonts w:ascii="Times New Roman" w:eastAsia="Calibri" w:hAnsi="Times New Roman" w:cs="Times New Roman"/>
          <w:sz w:val="24"/>
          <w:szCs w:val="24"/>
          <w:lang w:val="en-CA"/>
        </w:rPr>
      </w:pPr>
      <w:r w:rsidRPr="004035B8">
        <w:rPr>
          <w:rFonts w:ascii="Times New Roman" w:eastAsia="Calibri" w:hAnsi="Times New Roman" w:cs="Times New Roman"/>
          <w:sz w:val="24"/>
          <w:szCs w:val="24"/>
          <w:lang w:val="en-CA"/>
        </w:rPr>
        <w:t>To achieve success-oriented objectives for classroom instruction and execution of the syllabus, the following four principles were observed for synchronous, asynchronous, and collaborative environments of</w:t>
      </w:r>
      <w:r>
        <w:rPr>
          <w:rFonts w:ascii="Times New Roman" w:eastAsia="Calibri" w:hAnsi="Times New Roman" w:cs="Times New Roman"/>
          <w:sz w:val="24"/>
          <w:szCs w:val="24"/>
          <w:lang w:val="en-CA"/>
        </w:rPr>
        <w:t xml:space="preserve"> the</w:t>
      </w:r>
      <w:r w:rsidRPr="004035B8">
        <w:rPr>
          <w:rFonts w:ascii="Times New Roman" w:eastAsia="Calibri" w:hAnsi="Times New Roman" w:cs="Times New Roman"/>
          <w:sz w:val="24"/>
          <w:szCs w:val="24"/>
          <w:lang w:val="en-CA"/>
        </w:rPr>
        <w:t xml:space="preserve"> digital space</w:t>
      </w:r>
      <w:r>
        <w:rPr>
          <w:rFonts w:ascii="Times New Roman" w:eastAsia="Calibri" w:hAnsi="Times New Roman" w:cs="Times New Roman"/>
          <w:sz w:val="24"/>
          <w:szCs w:val="24"/>
          <w:lang w:val="en-CA"/>
        </w:rPr>
        <w:t>:</w:t>
      </w:r>
      <w:r w:rsidRPr="004035B8">
        <w:rPr>
          <w:rFonts w:ascii="Times New Roman" w:eastAsia="Calibri" w:hAnsi="Times New Roman" w:cs="Times New Roman"/>
          <w:sz w:val="24"/>
          <w:szCs w:val="24"/>
          <w:lang w:val="en-CA"/>
        </w:rPr>
        <w:t xml:space="preserve"> (</w:t>
      </w:r>
      <w:proofErr w:type="spellStart"/>
      <w:r w:rsidRPr="004035B8">
        <w:rPr>
          <w:rFonts w:ascii="Times New Roman" w:eastAsia="Calibri" w:hAnsi="Times New Roman" w:cs="Times New Roman"/>
          <w:sz w:val="24"/>
          <w:szCs w:val="24"/>
          <w:lang w:val="en-CA"/>
        </w:rPr>
        <w:t>i</w:t>
      </w:r>
      <w:proofErr w:type="spellEnd"/>
      <w:r w:rsidRPr="004035B8">
        <w:rPr>
          <w:rFonts w:ascii="Times New Roman" w:eastAsia="Calibri" w:hAnsi="Times New Roman" w:cs="Times New Roman"/>
          <w:sz w:val="24"/>
          <w:szCs w:val="24"/>
          <w:lang w:val="en-CA"/>
        </w:rPr>
        <w:t>) equal and flexible use of content and instruction (ii) simple, intuitive, and perceptible information and interaction, (iii) tolerance for error, and (iv) effort to create a community of learners through the instructional climate.</w:t>
      </w:r>
      <w:r>
        <w:rPr>
          <w:rFonts w:ascii="Times New Roman" w:eastAsia="Calibri" w:hAnsi="Times New Roman" w:cs="Times New Roman"/>
          <w:sz w:val="24"/>
          <w:szCs w:val="24"/>
          <w:lang w:val="en-CA"/>
        </w:rPr>
        <w:t xml:space="preserve"> </w:t>
      </w:r>
    </w:p>
    <w:p w14:paraId="2B2ADF8A" w14:textId="77777777" w:rsidR="00511512" w:rsidRPr="0025003E" w:rsidRDefault="00511512" w:rsidP="00511512">
      <w:pPr>
        <w:spacing w:line="276" w:lineRule="auto"/>
        <w:rPr>
          <w:rFonts w:ascii="Times New Roman" w:eastAsia="Calibri" w:hAnsi="Times New Roman" w:cs="Times New Roman"/>
          <w:sz w:val="24"/>
          <w:szCs w:val="24"/>
          <w:lang w:val="en-CA"/>
        </w:rPr>
      </w:pPr>
      <w:r>
        <w:rPr>
          <w:rFonts w:ascii="Times New Roman" w:eastAsia="Calibri" w:hAnsi="Times New Roman" w:cs="Times New Roman"/>
          <w:sz w:val="24"/>
          <w:szCs w:val="24"/>
          <w:lang w:val="en-CA"/>
        </w:rPr>
        <w:t>The next sub-section hones in on the benefits of active learning and how it was understood and incorporated in NFDP-2020.</w:t>
      </w:r>
    </w:p>
    <w:p w14:paraId="26CE6B5B" w14:textId="77777777" w:rsidR="00511512" w:rsidRPr="0025003E" w:rsidRDefault="00511512" w:rsidP="00511512">
      <w:pPr>
        <w:pStyle w:val="Heading2"/>
        <w:numPr>
          <w:ilvl w:val="1"/>
          <w:numId w:val="2"/>
        </w:numPr>
        <w:tabs>
          <w:tab w:val="num" w:pos="360"/>
        </w:tabs>
        <w:rPr>
          <w:rStyle w:val="Heading2Char"/>
          <w:i/>
        </w:rPr>
      </w:pPr>
      <w:r>
        <w:rPr>
          <w:rStyle w:val="Heading2Char"/>
          <w:i/>
        </w:rPr>
        <w:t xml:space="preserve"> </w:t>
      </w:r>
      <w:r w:rsidRPr="0025003E">
        <w:rPr>
          <w:rStyle w:val="Heading2Char"/>
          <w:i/>
        </w:rPr>
        <w:t>Active Learning</w:t>
      </w:r>
    </w:p>
    <w:p w14:paraId="57F93AB4" w14:textId="77777777" w:rsidR="00511512" w:rsidRPr="0025003E" w:rsidRDefault="00511512" w:rsidP="00511512">
      <w:pPr>
        <w:spacing w:line="276" w:lineRule="auto"/>
        <w:rPr>
          <w:rFonts w:ascii="Times New Roman" w:eastAsia="Calibri" w:hAnsi="Times New Roman" w:cs="Times New Roman"/>
          <w:color w:val="000000" w:themeColor="text1"/>
          <w:sz w:val="24"/>
          <w:szCs w:val="24"/>
        </w:rPr>
      </w:pPr>
      <w:r w:rsidRPr="0025003E">
        <w:rPr>
          <w:rFonts w:ascii="Times New Roman" w:eastAsia="Calibri" w:hAnsi="Times New Roman" w:cs="Times New Roman"/>
          <w:color w:val="000000" w:themeColor="text1"/>
          <w:sz w:val="24"/>
          <w:szCs w:val="24"/>
        </w:rPr>
        <w:t xml:space="preserve">Active learning is a proven pedagogical approach to engage students in </w:t>
      </w:r>
      <w:r w:rsidRPr="0025003E">
        <w:rPr>
          <w:rFonts w:ascii="Times New Roman" w:eastAsia="Calibri" w:hAnsi="Times New Roman" w:cs="Times New Roman"/>
          <w:i/>
          <w:iCs/>
          <w:color w:val="000000" w:themeColor="text1"/>
          <w:sz w:val="24"/>
          <w:szCs w:val="24"/>
        </w:rPr>
        <w:t>their</w:t>
      </w:r>
      <w:r w:rsidRPr="0025003E">
        <w:rPr>
          <w:rFonts w:ascii="Times New Roman" w:eastAsia="Calibri" w:hAnsi="Times New Roman" w:cs="Times New Roman"/>
          <w:color w:val="000000" w:themeColor="text1"/>
          <w:sz w:val="24"/>
          <w:szCs w:val="24"/>
        </w:rPr>
        <w:t xml:space="preserve"> learning process. Delivering active learning exercises requires the teacher to (a) provide a meaningful learning activity, (b) stimulate critical thinking, and (c) guide a student reflection on their learning. The intentional use of active learning spans more than three decades, with the past two providing extensive research evidence of its effectiveness. </w:t>
      </w:r>
    </w:p>
    <w:p w14:paraId="0F4DF185" w14:textId="77777777" w:rsidR="00511512" w:rsidRPr="0025003E" w:rsidRDefault="00511512" w:rsidP="00511512">
      <w:pPr>
        <w:spacing w:line="276" w:lineRule="auto"/>
        <w:rPr>
          <w:rFonts w:ascii="Times New Roman" w:eastAsia="Calibri" w:hAnsi="Times New Roman" w:cs="Times New Roman"/>
          <w:color w:val="000000" w:themeColor="text1"/>
          <w:sz w:val="24"/>
          <w:szCs w:val="24"/>
        </w:rPr>
      </w:pPr>
      <w:r w:rsidRPr="6B18A693">
        <w:rPr>
          <w:rFonts w:ascii="Times New Roman" w:eastAsia="Calibri" w:hAnsi="Times New Roman" w:cs="Times New Roman"/>
          <w:color w:val="000000" w:themeColor="text1"/>
          <w:sz w:val="24"/>
          <w:szCs w:val="24"/>
        </w:rPr>
        <w:t xml:space="preserve">Figure 2 illustrates the kinds of benefits active learning offers. Most notably, active learning helps students achieve learning objectives. Further, active learning builds student success skills (e.g., communication, teamwork) and increases teacher engagement and enjoyment of teaching. A lesser-known benefit is that active learning also enhances equity and inclusion. </w:t>
      </w:r>
    </w:p>
    <w:p w14:paraId="3C3744E6" w14:textId="77777777" w:rsidR="00511512" w:rsidRPr="0025003E" w:rsidRDefault="00511512" w:rsidP="00511512">
      <w:pPr>
        <w:spacing w:line="276" w:lineRule="auto"/>
        <w:rPr>
          <w:rFonts w:ascii="Times New Roman" w:hAnsi="Times New Roman" w:cs="Times New Roman"/>
          <w:sz w:val="24"/>
          <w:szCs w:val="24"/>
        </w:rPr>
      </w:pPr>
      <w:r>
        <w:rPr>
          <w:noProof/>
          <w:lang w:val="en-GB" w:eastAsia="en-GB"/>
        </w:rPr>
        <w:drawing>
          <wp:inline distT="0" distB="0" distL="0" distR="0" wp14:anchorId="49BFA4CC" wp14:editId="5821EF8A">
            <wp:extent cx="3282081" cy="2266950"/>
            <wp:effectExtent l="0" t="0" r="0" b="0"/>
            <wp:docPr id="84171229" name="Picture 84171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71229"/>
                    <pic:cNvPicPr/>
                  </pic:nvPicPr>
                  <pic:blipFill>
                    <a:blip r:embed="rId13">
                      <a:extLst>
                        <a:ext uri="{28A0092B-C50C-407E-A947-70E740481C1C}">
                          <a14:useLocalDpi xmlns:a14="http://schemas.microsoft.com/office/drawing/2010/main" val="0"/>
                        </a:ext>
                      </a:extLst>
                    </a:blip>
                    <a:stretch>
                      <a:fillRect/>
                    </a:stretch>
                  </pic:blipFill>
                  <pic:spPr>
                    <a:xfrm>
                      <a:off x="0" y="0"/>
                      <a:ext cx="3282081" cy="2266950"/>
                    </a:xfrm>
                    <a:prstGeom prst="rect">
                      <a:avLst/>
                    </a:prstGeom>
                  </pic:spPr>
                </pic:pic>
              </a:graphicData>
            </a:graphic>
          </wp:inline>
        </w:drawing>
      </w:r>
    </w:p>
    <w:p w14:paraId="2F5AED45" w14:textId="77777777" w:rsidR="00511512" w:rsidRPr="0025003E" w:rsidRDefault="00511512" w:rsidP="00511512">
      <w:pPr>
        <w:spacing w:line="276" w:lineRule="auto"/>
        <w:rPr>
          <w:rFonts w:ascii="Times New Roman" w:eastAsia="Calibri" w:hAnsi="Times New Roman" w:cs="Times New Roman"/>
          <w:color w:val="000000" w:themeColor="text1"/>
          <w:sz w:val="24"/>
          <w:szCs w:val="24"/>
        </w:rPr>
      </w:pPr>
      <w:r w:rsidRPr="00CE0D80">
        <w:rPr>
          <w:rFonts w:ascii="Times New Roman" w:hAnsi="Times New Roman" w:cs="Times New Roman"/>
          <w:b/>
          <w:bCs/>
          <w:noProof/>
          <w:sz w:val="24"/>
          <w:szCs w:val="24"/>
          <w:lang w:val="en-GB" w:eastAsia="en-GB"/>
        </w:rPr>
        <mc:AlternateContent>
          <mc:Choice Requires="wps">
            <w:drawing>
              <wp:inline distT="0" distB="0" distL="0" distR="0" wp14:anchorId="28EF5B46" wp14:editId="018D539E">
                <wp:extent cx="4960189" cy="1404620"/>
                <wp:effectExtent l="0" t="0" r="12065" b="2349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0189" cy="1404620"/>
                        </a:xfrm>
                        <a:prstGeom prst="rect">
                          <a:avLst/>
                        </a:prstGeom>
                        <a:solidFill>
                          <a:srgbClr val="FFFFFF"/>
                        </a:solidFill>
                        <a:ln w="9525">
                          <a:solidFill>
                            <a:srgbClr val="000000"/>
                          </a:solidFill>
                          <a:miter lim="800000"/>
                          <a:headEnd/>
                          <a:tailEnd/>
                        </a:ln>
                      </wps:spPr>
                      <wps:txbx>
                        <w:txbxContent>
                          <w:p w14:paraId="6AFE7B7F" w14:textId="77777777" w:rsidR="00511512" w:rsidRDefault="00511512" w:rsidP="00511512">
                            <w:pPr>
                              <w:spacing w:line="276" w:lineRule="auto"/>
                            </w:pPr>
                            <w:r w:rsidRPr="0025003E">
                              <w:rPr>
                                <w:rFonts w:ascii="Times New Roman" w:hAnsi="Times New Roman" w:cs="Times New Roman"/>
                                <w:b/>
                                <w:bCs/>
                                <w:sz w:val="24"/>
                                <w:szCs w:val="24"/>
                              </w:rPr>
                              <w:t>Figure 2.</w:t>
                            </w:r>
                            <w:r w:rsidRPr="0025003E">
                              <w:rPr>
                                <w:rFonts w:ascii="Times New Roman" w:hAnsi="Times New Roman" w:cs="Times New Roman"/>
                                <w:sz w:val="24"/>
                                <w:szCs w:val="24"/>
                              </w:rPr>
                              <w:t xml:space="preserve"> Active learning benefits the students (green shaded), teacher (blue), and classroom (red).</w:t>
                            </w:r>
                          </w:p>
                        </w:txbxContent>
                      </wps:txbx>
                      <wps:bodyPr rot="0" vert="horz" wrap="square" lIns="91440" tIns="45720" rIns="91440" bIns="45720" anchor="t" anchorCtr="0">
                        <a:spAutoFit/>
                      </wps:bodyPr>
                    </wps:wsp>
                  </a:graphicData>
                </a:graphic>
              </wp:inline>
            </w:drawing>
          </mc:Choice>
          <mc:Fallback>
            <w:pict>
              <v:shape w14:anchorId="28EF5B46" id="_x0000_s1027" type="#_x0000_t202" style="width:390.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">
                <v:textbox style="mso-fit-shape-to-text:t">
                  <w:txbxContent>
                    <w:p w14:paraId="6AFE7B7F" w14:textId="77777777" w:rsidR="00511512" w:rsidRDefault="00511512" w:rsidP="00511512">
                      <w:pPr>
                        <w:spacing w:line="276" w:lineRule="auto"/>
                      </w:pPr>
                      <w:r w:rsidRPr="0025003E">
                        <w:rPr>
                          <w:rFonts w:ascii="Times New Roman" w:hAnsi="Times New Roman" w:cs="Times New Roman"/>
                          <w:b/>
                          <w:bCs/>
                          <w:sz w:val="24"/>
                          <w:szCs w:val="24"/>
                        </w:rPr>
                        <w:t>Figure 2.</w:t>
                      </w:r>
                      <w:r w:rsidRPr="0025003E">
                        <w:rPr>
                          <w:rFonts w:ascii="Times New Roman" w:hAnsi="Times New Roman" w:cs="Times New Roman"/>
                          <w:sz w:val="24"/>
                          <w:szCs w:val="24"/>
                        </w:rPr>
                        <w:t xml:space="preserve"> Active learning benefits the students (green shaded), teacher (blue), and classroom (red).</w:t>
                      </w:r>
                    </w:p>
                  </w:txbxContent>
                </v:textbox>
                <w10:anchorlock/>
              </v:shape>
            </w:pict>
          </mc:Fallback>
        </mc:AlternateContent>
      </w:r>
    </w:p>
    <w:p w14:paraId="4E4D2F01" w14:textId="77777777" w:rsidR="00511512" w:rsidRPr="0025003E" w:rsidRDefault="00511512" w:rsidP="00511512">
      <w:pPr>
        <w:spacing w:line="276" w:lineRule="auto"/>
        <w:rPr>
          <w:rFonts w:ascii="Times New Roman" w:eastAsia="Calibri" w:hAnsi="Times New Roman" w:cs="Times New Roman"/>
          <w:color w:val="000000" w:themeColor="text1"/>
          <w:sz w:val="24"/>
          <w:szCs w:val="24"/>
        </w:rPr>
      </w:pPr>
      <w:r w:rsidRPr="0025003E">
        <w:rPr>
          <w:rFonts w:ascii="Times New Roman" w:eastAsia="Calibri" w:hAnsi="Times New Roman" w:cs="Times New Roman"/>
          <w:color w:val="000000" w:themeColor="text1"/>
          <w:sz w:val="24"/>
          <w:szCs w:val="24"/>
        </w:rPr>
        <w:t xml:space="preserve">The literature is replete with scholarly work from educational psychology and learning science supporting the effectiveness of active learning for enhancing student learning compared to more passive techniques (e.g., Prince 2004; Michael 2006). </w:t>
      </w:r>
      <w:proofErr w:type="spellStart"/>
      <w:r w:rsidRPr="0025003E">
        <w:rPr>
          <w:rFonts w:ascii="Times New Roman" w:eastAsia="Calibri" w:hAnsi="Times New Roman" w:cs="Times New Roman"/>
          <w:color w:val="000000" w:themeColor="text1"/>
          <w:sz w:val="24"/>
          <w:szCs w:val="24"/>
        </w:rPr>
        <w:t>Deslauriers</w:t>
      </w:r>
      <w:proofErr w:type="spellEnd"/>
      <w:r w:rsidRPr="0025003E">
        <w:rPr>
          <w:rFonts w:ascii="Times New Roman" w:eastAsia="Calibri" w:hAnsi="Times New Roman" w:cs="Times New Roman"/>
          <w:color w:val="000000" w:themeColor="text1"/>
          <w:sz w:val="24"/>
          <w:szCs w:val="24"/>
        </w:rPr>
        <w:t xml:space="preserve"> et al. (2019) reinforced these </w:t>
      </w:r>
      <w:r w:rsidRPr="0025003E">
        <w:rPr>
          <w:rFonts w:ascii="Times New Roman" w:eastAsia="Calibri" w:hAnsi="Times New Roman" w:cs="Times New Roman"/>
          <w:color w:val="000000" w:themeColor="text1"/>
          <w:sz w:val="24"/>
          <w:szCs w:val="24"/>
        </w:rPr>
        <w:lastRenderedPageBreak/>
        <w:t xml:space="preserve">previous findings with documented evidence of </w:t>
      </w:r>
      <w:r w:rsidRPr="0025003E">
        <w:rPr>
          <w:rFonts w:ascii="Times New Roman" w:eastAsia="Calibri" w:hAnsi="Times New Roman" w:cs="Times New Roman"/>
          <w:i/>
          <w:iCs/>
          <w:color w:val="000000" w:themeColor="text1"/>
          <w:sz w:val="24"/>
          <w:szCs w:val="24"/>
        </w:rPr>
        <w:t>actual</w:t>
      </w:r>
      <w:r w:rsidRPr="0025003E">
        <w:rPr>
          <w:rFonts w:ascii="Times New Roman" w:eastAsia="Calibri" w:hAnsi="Times New Roman" w:cs="Times New Roman"/>
          <w:color w:val="000000" w:themeColor="text1"/>
          <w:sz w:val="24"/>
          <w:szCs w:val="24"/>
        </w:rPr>
        <w:t xml:space="preserve"> learning, in addition to students</w:t>
      </w:r>
      <w:r>
        <w:rPr>
          <w:rFonts w:ascii="Times New Roman" w:eastAsia="Calibri" w:hAnsi="Times New Roman" w:cs="Times New Roman"/>
          <w:color w:val="000000" w:themeColor="text1"/>
          <w:sz w:val="24"/>
          <w:szCs w:val="24"/>
        </w:rPr>
        <w:t>’</w:t>
      </w:r>
      <w:r w:rsidRPr="0025003E">
        <w:rPr>
          <w:rFonts w:ascii="Times New Roman" w:eastAsia="Calibri" w:hAnsi="Times New Roman" w:cs="Times New Roman"/>
          <w:color w:val="000000" w:themeColor="text1"/>
          <w:sz w:val="24"/>
          <w:szCs w:val="24"/>
        </w:rPr>
        <w:t xml:space="preserve"> perceived learning (Lumpkin et al. 2015). Importantly, active learning provides transferable skills, hones subject matter expertise, and builds self-reliance and independent learning capacity in students (Agarwal 2019), which aided the design and execution of NFDP-2020</w:t>
      </w:r>
    </w:p>
    <w:p w14:paraId="02112963" w14:textId="77777777" w:rsidR="00511512" w:rsidRPr="0025003E" w:rsidRDefault="00511512" w:rsidP="00511512">
      <w:pPr>
        <w:spacing w:line="276" w:lineRule="auto"/>
        <w:rPr>
          <w:rFonts w:ascii="Times New Roman" w:eastAsia="Calibri" w:hAnsi="Times New Roman" w:cs="Times New Roman"/>
          <w:color w:val="000000" w:themeColor="text1"/>
          <w:sz w:val="24"/>
          <w:szCs w:val="24"/>
        </w:rPr>
      </w:pPr>
      <w:r w:rsidRPr="0025003E">
        <w:rPr>
          <w:rFonts w:ascii="Times New Roman" w:eastAsia="Calibri" w:hAnsi="Times New Roman" w:cs="Times New Roman"/>
          <w:color w:val="000000" w:themeColor="text1"/>
          <w:sz w:val="24"/>
          <w:szCs w:val="24"/>
        </w:rPr>
        <w:t xml:space="preserve">Less well known about active learning </w:t>
      </w:r>
      <w:r>
        <w:rPr>
          <w:rFonts w:ascii="Times New Roman" w:eastAsia="Calibri" w:hAnsi="Times New Roman" w:cs="Times New Roman"/>
          <w:color w:val="000000" w:themeColor="text1"/>
          <w:sz w:val="24"/>
          <w:szCs w:val="24"/>
        </w:rPr>
        <w:t xml:space="preserve">are </w:t>
      </w:r>
      <w:r w:rsidRPr="0025003E">
        <w:rPr>
          <w:rFonts w:ascii="Times New Roman" w:eastAsia="Calibri" w:hAnsi="Times New Roman" w:cs="Times New Roman"/>
          <w:color w:val="000000" w:themeColor="text1"/>
          <w:sz w:val="24"/>
          <w:szCs w:val="24"/>
        </w:rPr>
        <w:t xml:space="preserve">the benefits for promoting equity and inclusion. Active learning helps underrepresented students in science, technology, engineering, and math (STEM) narrow the achievement gap (Lorenzo et al. 2006; </w:t>
      </w:r>
      <w:proofErr w:type="spellStart"/>
      <w:r w:rsidRPr="0025003E">
        <w:rPr>
          <w:rFonts w:ascii="Times New Roman" w:eastAsia="Calibri" w:hAnsi="Times New Roman" w:cs="Times New Roman"/>
          <w:color w:val="000000" w:themeColor="text1"/>
          <w:sz w:val="24"/>
          <w:szCs w:val="24"/>
        </w:rPr>
        <w:t>Haak</w:t>
      </w:r>
      <w:proofErr w:type="spellEnd"/>
      <w:r w:rsidRPr="0025003E">
        <w:rPr>
          <w:rFonts w:ascii="Times New Roman" w:eastAsia="Calibri" w:hAnsi="Times New Roman" w:cs="Times New Roman"/>
          <w:color w:val="000000" w:themeColor="text1"/>
          <w:sz w:val="24"/>
          <w:szCs w:val="24"/>
        </w:rPr>
        <w:t xml:space="preserve"> et al. 2011; Theobald et al. 2020). Although beneficial in many respects, a recent study noted the greater participation of men in voluntary responses after small-group discussions suggesting a need for instructors to facilitate active learning in intentional ways to increase inclusive and equitable participation by all students (</w:t>
      </w:r>
      <w:proofErr w:type="spellStart"/>
      <w:r w:rsidRPr="0025003E">
        <w:rPr>
          <w:rFonts w:ascii="Times New Roman" w:eastAsia="Calibri" w:hAnsi="Times New Roman" w:cs="Times New Roman"/>
          <w:color w:val="000000" w:themeColor="text1"/>
          <w:sz w:val="24"/>
          <w:szCs w:val="24"/>
        </w:rPr>
        <w:t>Aguillon</w:t>
      </w:r>
      <w:proofErr w:type="spellEnd"/>
      <w:r w:rsidRPr="0025003E">
        <w:rPr>
          <w:rFonts w:ascii="Times New Roman" w:eastAsia="Calibri" w:hAnsi="Times New Roman" w:cs="Times New Roman"/>
          <w:color w:val="000000" w:themeColor="text1"/>
          <w:sz w:val="24"/>
          <w:szCs w:val="24"/>
        </w:rPr>
        <w:t xml:space="preserve"> et al. 2020). This understanding influenced the way the instructor team approached NFDP-2020 program development and delivery</w:t>
      </w:r>
    </w:p>
    <w:p w14:paraId="676D5D48" w14:textId="77777777" w:rsidR="00511512" w:rsidRPr="0025003E" w:rsidRDefault="00511512" w:rsidP="00511512">
      <w:pPr>
        <w:spacing w:line="276" w:lineRule="auto"/>
        <w:rPr>
          <w:rFonts w:ascii="Times New Roman" w:eastAsia="Calibri" w:hAnsi="Times New Roman" w:cs="Times New Roman"/>
          <w:color w:val="000000" w:themeColor="text1"/>
          <w:sz w:val="24"/>
          <w:szCs w:val="24"/>
        </w:rPr>
      </w:pPr>
      <w:r w:rsidRPr="0025003E">
        <w:rPr>
          <w:rFonts w:ascii="Times New Roman" w:eastAsia="Calibri" w:hAnsi="Times New Roman" w:cs="Times New Roman"/>
          <w:color w:val="000000" w:themeColor="text1"/>
          <w:sz w:val="24"/>
          <w:szCs w:val="24"/>
        </w:rPr>
        <w:t xml:space="preserve">Because of the many benefits of active learning, the efficacy of the strategy for building teacher competencies (Virtanen et al. 2017), and the potential to support inclusion and equity, the instructor team adopted active learning for NFDP-2020. The team considered active learning pedagogy comprehensively </w:t>
      </w:r>
      <w:r>
        <w:rPr>
          <w:rFonts w:ascii="Times New Roman" w:eastAsia="Calibri" w:hAnsi="Times New Roman" w:cs="Times New Roman"/>
          <w:color w:val="000000" w:themeColor="text1"/>
          <w:sz w:val="24"/>
          <w:szCs w:val="24"/>
        </w:rPr>
        <w:t>–</w:t>
      </w:r>
      <w:r w:rsidRPr="0025003E">
        <w:rPr>
          <w:rFonts w:ascii="Times New Roman" w:eastAsia="Calibri" w:hAnsi="Times New Roman" w:cs="Times New Roman"/>
          <w:color w:val="000000" w:themeColor="text1"/>
          <w:sz w:val="24"/>
          <w:szCs w:val="24"/>
        </w:rPr>
        <w:t xml:space="preserve"> in</w:t>
      </w:r>
      <w:r>
        <w:rPr>
          <w:rFonts w:ascii="Times New Roman" w:eastAsia="Calibri" w:hAnsi="Times New Roman" w:cs="Times New Roman"/>
          <w:color w:val="000000" w:themeColor="text1"/>
          <w:sz w:val="24"/>
          <w:szCs w:val="24"/>
        </w:rPr>
        <w:t xml:space="preserve"> </w:t>
      </w:r>
      <w:r w:rsidRPr="0025003E">
        <w:rPr>
          <w:rFonts w:ascii="Times New Roman" w:eastAsia="Calibri" w:hAnsi="Times New Roman" w:cs="Times New Roman"/>
          <w:color w:val="000000" w:themeColor="text1"/>
          <w:sz w:val="24"/>
          <w:szCs w:val="24"/>
        </w:rPr>
        <w:t xml:space="preserve">planning, designing, and delivering NFDP-2020. </w:t>
      </w:r>
      <w:r>
        <w:rPr>
          <w:rFonts w:ascii="Times New Roman" w:eastAsia="Calibri" w:hAnsi="Times New Roman" w:cs="Times New Roman"/>
          <w:color w:val="000000" w:themeColor="text1"/>
          <w:sz w:val="24"/>
          <w:szCs w:val="24"/>
        </w:rPr>
        <w:t>B</w:t>
      </w:r>
      <w:r w:rsidRPr="0025003E">
        <w:rPr>
          <w:rFonts w:ascii="Times New Roman" w:eastAsia="Calibri" w:hAnsi="Times New Roman" w:cs="Times New Roman"/>
          <w:color w:val="000000" w:themeColor="text1"/>
          <w:sz w:val="24"/>
          <w:szCs w:val="24"/>
        </w:rPr>
        <w:t>ecause of the shift to emergency online teaching, the instructors adapted the active learning pedagogy and activities to the online classroom environment of NFDP-2020. Transitioning to online challenged the use of active learning</w:t>
      </w:r>
      <w:r>
        <w:rPr>
          <w:rFonts w:ascii="Times New Roman" w:eastAsia="Calibri" w:hAnsi="Times New Roman" w:cs="Times New Roman"/>
          <w:color w:val="000000" w:themeColor="text1"/>
          <w:sz w:val="24"/>
          <w:szCs w:val="24"/>
        </w:rPr>
        <w:t>,</w:t>
      </w:r>
      <w:r w:rsidRPr="0025003E">
        <w:rPr>
          <w:rFonts w:ascii="Times New Roman" w:eastAsia="Calibri" w:hAnsi="Times New Roman" w:cs="Times New Roman"/>
          <w:color w:val="000000" w:themeColor="text1"/>
          <w:sz w:val="24"/>
          <w:szCs w:val="24"/>
        </w:rPr>
        <w:t xml:space="preserve"> leading the instructional team to carefully consider and incorporate the use of online collaborative tools, provide explicit directions for reflection, and train Assistant Mentors to help facilitate group activities.</w:t>
      </w:r>
    </w:p>
    <w:p w14:paraId="69A07457" w14:textId="77777777" w:rsidR="00511512" w:rsidRPr="0025003E" w:rsidRDefault="00511512" w:rsidP="00511512">
      <w:pPr>
        <w:spacing w:line="276" w:lineRule="auto"/>
        <w:rPr>
          <w:rFonts w:ascii="Times New Roman" w:eastAsia="Calibri" w:hAnsi="Times New Roman" w:cs="Times New Roman"/>
          <w:color w:val="000000" w:themeColor="text1"/>
          <w:sz w:val="24"/>
          <w:szCs w:val="24"/>
        </w:rPr>
      </w:pPr>
      <w:r w:rsidRPr="0025003E">
        <w:rPr>
          <w:rFonts w:ascii="Times New Roman" w:eastAsia="Calibri" w:hAnsi="Times New Roman" w:cs="Times New Roman"/>
          <w:color w:val="000000" w:themeColor="text1"/>
          <w:sz w:val="24"/>
          <w:szCs w:val="24"/>
        </w:rPr>
        <w:t>With NFPD-2020 being a faculty development program for new professors, the use of active learning addressed three broad goals. First, and foremost, active learning as a pedagogy helped NFDP Fellows achieve the program learning outcomes. Second, by providing numerous active learning examples</w:t>
      </w:r>
      <w:r>
        <w:rPr>
          <w:rFonts w:ascii="Times New Roman" w:eastAsia="Calibri" w:hAnsi="Times New Roman" w:cs="Times New Roman"/>
          <w:color w:val="000000" w:themeColor="text1"/>
          <w:sz w:val="24"/>
          <w:szCs w:val="24"/>
        </w:rPr>
        <w:t>,</w:t>
      </w:r>
      <w:r w:rsidRPr="0025003E">
        <w:rPr>
          <w:rFonts w:ascii="Times New Roman" w:eastAsia="Calibri" w:hAnsi="Times New Roman" w:cs="Times New Roman"/>
          <w:color w:val="000000" w:themeColor="text1"/>
          <w:sz w:val="24"/>
          <w:szCs w:val="24"/>
        </w:rPr>
        <w:t xml:space="preserve"> NFDP Fellows benefitted as teachers in training. And third, stressing equity and inclusion, active learning supported the program goal of promoting participation and success of underrepresented group</w:t>
      </w:r>
      <w:r>
        <w:rPr>
          <w:rFonts w:ascii="Times New Roman" w:eastAsia="Calibri" w:hAnsi="Times New Roman" w:cs="Times New Roman"/>
          <w:color w:val="000000" w:themeColor="text1"/>
          <w:sz w:val="24"/>
          <w:szCs w:val="24"/>
        </w:rPr>
        <w:t>s</w:t>
      </w:r>
      <w:r w:rsidRPr="0025003E">
        <w:rPr>
          <w:rFonts w:ascii="Times New Roman" w:eastAsia="Calibri" w:hAnsi="Times New Roman" w:cs="Times New Roman"/>
          <w:color w:val="000000" w:themeColor="text1"/>
          <w:sz w:val="24"/>
          <w:szCs w:val="24"/>
        </w:rPr>
        <w:t xml:space="preserve"> while providing opportunities for NFDP Fellows to be exposed to additional examples of ways to enhance equity and inclusion in their classrooms and academic life.</w:t>
      </w:r>
    </w:p>
    <w:p w14:paraId="4B9C0EA3" w14:textId="77777777" w:rsidR="00511512" w:rsidRPr="0025003E" w:rsidRDefault="00511512" w:rsidP="00511512">
      <w:pPr>
        <w:spacing w:line="276" w:lineRule="auto"/>
        <w:rPr>
          <w:rFonts w:ascii="Times New Roman" w:eastAsia="Calibri" w:hAnsi="Times New Roman" w:cs="Times New Roman"/>
          <w:color w:val="000000" w:themeColor="text1"/>
          <w:sz w:val="24"/>
          <w:szCs w:val="24"/>
        </w:rPr>
      </w:pPr>
      <w:r w:rsidRPr="0025003E">
        <w:rPr>
          <w:rFonts w:ascii="Times New Roman" w:eastAsia="Calibri" w:hAnsi="Times New Roman" w:cs="Times New Roman"/>
          <w:color w:val="000000" w:themeColor="text1"/>
          <w:sz w:val="24"/>
          <w:szCs w:val="24"/>
        </w:rPr>
        <w:t xml:space="preserve">With these goals in mind, NFDP incorporated numerous active learning techniques </w:t>
      </w:r>
      <w:r>
        <w:rPr>
          <w:rFonts w:ascii="Times New Roman" w:eastAsia="Calibri" w:hAnsi="Times New Roman" w:cs="Times New Roman"/>
          <w:color w:val="000000" w:themeColor="text1"/>
          <w:sz w:val="24"/>
          <w:szCs w:val="24"/>
        </w:rPr>
        <w:t>(</w:t>
      </w:r>
      <w:r w:rsidRPr="0025003E">
        <w:rPr>
          <w:rFonts w:ascii="Times New Roman" w:eastAsia="Calibri" w:hAnsi="Times New Roman" w:cs="Times New Roman"/>
          <w:color w:val="000000" w:themeColor="text1"/>
          <w:sz w:val="24"/>
          <w:szCs w:val="24"/>
        </w:rPr>
        <w:t>see Figure 3 for examples organized into categories</w:t>
      </w:r>
      <w:r>
        <w:rPr>
          <w:rFonts w:ascii="Times New Roman" w:eastAsia="Calibri" w:hAnsi="Times New Roman" w:cs="Times New Roman"/>
          <w:color w:val="000000" w:themeColor="text1"/>
          <w:sz w:val="24"/>
          <w:szCs w:val="24"/>
        </w:rPr>
        <w:t>)</w:t>
      </w:r>
      <w:r w:rsidRPr="0025003E">
        <w:rPr>
          <w:rFonts w:ascii="Times New Roman" w:eastAsia="Calibri" w:hAnsi="Times New Roman" w:cs="Times New Roman"/>
          <w:color w:val="000000" w:themeColor="text1"/>
          <w:sz w:val="24"/>
          <w:szCs w:val="24"/>
        </w:rPr>
        <w:t xml:space="preserve">. Some exercises required adaptation for an online environment or needed the use of web-based educational technologies (e.g., Kahoot, </w:t>
      </w:r>
      <w:proofErr w:type="spellStart"/>
      <w:r w:rsidRPr="0025003E">
        <w:rPr>
          <w:rFonts w:ascii="Times New Roman" w:eastAsia="Calibri" w:hAnsi="Times New Roman" w:cs="Times New Roman"/>
          <w:color w:val="000000" w:themeColor="text1"/>
          <w:sz w:val="24"/>
          <w:szCs w:val="24"/>
        </w:rPr>
        <w:t>Mentimeter</w:t>
      </w:r>
      <w:proofErr w:type="spellEnd"/>
      <w:r w:rsidRPr="0025003E">
        <w:rPr>
          <w:rFonts w:ascii="Times New Roman" w:eastAsia="Calibri" w:hAnsi="Times New Roman" w:cs="Times New Roman"/>
          <w:color w:val="000000" w:themeColor="text1"/>
          <w:sz w:val="24"/>
          <w:szCs w:val="24"/>
        </w:rPr>
        <w:t xml:space="preserve">, </w:t>
      </w:r>
      <w:proofErr w:type="spellStart"/>
      <w:r w:rsidRPr="0025003E">
        <w:rPr>
          <w:rFonts w:ascii="Times New Roman" w:eastAsia="Calibri" w:hAnsi="Times New Roman" w:cs="Times New Roman"/>
          <w:color w:val="000000" w:themeColor="text1"/>
          <w:sz w:val="24"/>
          <w:szCs w:val="24"/>
        </w:rPr>
        <w:t>PollEverywhere</w:t>
      </w:r>
      <w:proofErr w:type="spellEnd"/>
      <w:r w:rsidRPr="0025003E">
        <w:rPr>
          <w:rFonts w:ascii="Times New Roman" w:eastAsia="Calibri" w:hAnsi="Times New Roman" w:cs="Times New Roman"/>
          <w:color w:val="000000" w:themeColor="text1"/>
          <w:sz w:val="24"/>
          <w:szCs w:val="24"/>
        </w:rPr>
        <w:t>). Microsoft Teams and collaboration tools (e.g., Google</w:t>
      </w:r>
      <w:r>
        <w:rPr>
          <w:rFonts w:ascii="Times New Roman" w:eastAsia="Calibri" w:hAnsi="Times New Roman" w:cs="Times New Roman"/>
          <w:color w:val="000000" w:themeColor="text1"/>
          <w:sz w:val="24"/>
          <w:szCs w:val="24"/>
        </w:rPr>
        <w:t xml:space="preserve"> </w:t>
      </w:r>
      <w:r w:rsidRPr="0025003E">
        <w:rPr>
          <w:rFonts w:ascii="Times New Roman" w:eastAsia="Calibri" w:hAnsi="Times New Roman" w:cs="Times New Roman"/>
          <w:color w:val="000000" w:themeColor="text1"/>
          <w:sz w:val="24"/>
          <w:szCs w:val="24"/>
        </w:rPr>
        <w:t xml:space="preserve">Doc, </w:t>
      </w:r>
      <w:proofErr w:type="spellStart"/>
      <w:r w:rsidRPr="0025003E">
        <w:rPr>
          <w:rFonts w:ascii="Times New Roman" w:eastAsia="Calibri" w:hAnsi="Times New Roman" w:cs="Times New Roman"/>
          <w:color w:val="000000" w:themeColor="text1"/>
          <w:sz w:val="24"/>
          <w:szCs w:val="24"/>
        </w:rPr>
        <w:t>Perusall</w:t>
      </w:r>
      <w:proofErr w:type="spellEnd"/>
      <w:r w:rsidRPr="0025003E">
        <w:rPr>
          <w:rFonts w:ascii="Times New Roman" w:eastAsia="Calibri" w:hAnsi="Times New Roman" w:cs="Times New Roman"/>
          <w:color w:val="000000" w:themeColor="text1"/>
          <w:sz w:val="24"/>
          <w:szCs w:val="24"/>
        </w:rPr>
        <w:t>) facilitated formal and informal cooperative exercises.</w:t>
      </w:r>
    </w:p>
    <w:p w14:paraId="3CEA65AC" w14:textId="77777777" w:rsidR="00511512" w:rsidRPr="0025003E" w:rsidRDefault="00511512" w:rsidP="00511512">
      <w:pPr>
        <w:spacing w:line="276" w:lineRule="auto"/>
        <w:rPr>
          <w:rFonts w:ascii="Times New Roman" w:eastAsia="Calibri" w:hAnsi="Times New Roman" w:cs="Times New Roman"/>
          <w:color w:val="000000" w:themeColor="text1"/>
          <w:sz w:val="24"/>
          <w:szCs w:val="24"/>
        </w:rPr>
      </w:pPr>
    </w:p>
    <w:p w14:paraId="074B44E4" w14:textId="77777777" w:rsidR="00511512" w:rsidRPr="0025003E" w:rsidRDefault="00511512" w:rsidP="00511512">
      <w:pPr>
        <w:spacing w:line="276" w:lineRule="auto"/>
        <w:rPr>
          <w:rFonts w:ascii="Times New Roman" w:hAnsi="Times New Roman" w:cs="Times New Roman"/>
          <w:sz w:val="24"/>
          <w:szCs w:val="24"/>
        </w:rPr>
      </w:pPr>
      <w:r>
        <w:rPr>
          <w:noProof/>
          <w:lang w:val="en-GB" w:eastAsia="en-GB"/>
        </w:rPr>
        <w:lastRenderedPageBreak/>
        <w:drawing>
          <wp:inline distT="0" distB="0" distL="0" distR="0" wp14:anchorId="25CD76F1" wp14:editId="5658CB46">
            <wp:extent cx="3311502" cy="2218282"/>
            <wp:effectExtent l="0" t="0" r="0" b="0"/>
            <wp:docPr id="874386370" name="Picture 874386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38637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11502" cy="2218282"/>
                    </a:xfrm>
                    <a:prstGeom prst="rect">
                      <a:avLst/>
                    </a:prstGeom>
                  </pic:spPr>
                </pic:pic>
              </a:graphicData>
            </a:graphic>
          </wp:inline>
        </w:drawing>
      </w:r>
    </w:p>
    <w:p w14:paraId="6D9E844A" w14:textId="77777777" w:rsidR="00511512" w:rsidRPr="0025003E" w:rsidRDefault="00511512" w:rsidP="00511512">
      <w:pPr>
        <w:spacing w:line="276" w:lineRule="auto"/>
        <w:rPr>
          <w:rFonts w:ascii="Times New Roman" w:eastAsia="Calibri" w:hAnsi="Times New Roman" w:cs="Times New Roman"/>
          <w:color w:val="000000" w:themeColor="text1"/>
          <w:sz w:val="24"/>
          <w:szCs w:val="24"/>
        </w:rPr>
      </w:pPr>
      <w:r w:rsidRPr="00CE0D80">
        <w:rPr>
          <w:rFonts w:ascii="Times New Roman" w:eastAsia="Calibri" w:hAnsi="Times New Roman" w:cs="Times New Roman"/>
          <w:noProof/>
          <w:color w:val="000000" w:themeColor="text1"/>
          <w:sz w:val="24"/>
          <w:szCs w:val="24"/>
          <w:lang w:val="en-GB" w:eastAsia="en-GB"/>
        </w:rPr>
        <mc:AlternateContent>
          <mc:Choice Requires="wps">
            <w:drawing>
              <wp:inline distT="0" distB="0" distL="0" distR="0" wp14:anchorId="277B2BF6" wp14:editId="3B525156">
                <wp:extent cx="3873260" cy="1404620"/>
                <wp:effectExtent l="0" t="0" r="13335" b="1587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260" cy="1404620"/>
                        </a:xfrm>
                        <a:prstGeom prst="rect">
                          <a:avLst/>
                        </a:prstGeom>
                        <a:solidFill>
                          <a:srgbClr val="FFFFFF"/>
                        </a:solidFill>
                        <a:ln w="9525">
                          <a:solidFill>
                            <a:srgbClr val="000000"/>
                          </a:solidFill>
                          <a:miter lim="800000"/>
                          <a:headEnd/>
                          <a:tailEnd/>
                        </a:ln>
                      </wps:spPr>
                      <wps:txbx>
                        <w:txbxContent>
                          <w:p w14:paraId="5E7BF712" w14:textId="77777777" w:rsidR="00511512" w:rsidRDefault="00511512" w:rsidP="00511512">
                            <w:pPr>
                              <w:spacing w:line="276" w:lineRule="auto"/>
                            </w:pPr>
                            <w:r w:rsidRPr="0025003E">
                              <w:rPr>
                                <w:rFonts w:ascii="Times New Roman" w:eastAsia="Calibri" w:hAnsi="Times New Roman" w:cs="Times New Roman"/>
                                <w:b/>
                                <w:bCs/>
                                <w:color w:val="000000" w:themeColor="text1"/>
                                <w:sz w:val="24"/>
                                <w:szCs w:val="24"/>
                              </w:rPr>
                              <w:t>Figure 3.</w:t>
                            </w:r>
                            <w:r w:rsidRPr="0025003E">
                              <w:rPr>
                                <w:rFonts w:ascii="Times New Roman" w:eastAsia="Calibri" w:hAnsi="Times New Roman" w:cs="Times New Roman"/>
                                <w:color w:val="000000" w:themeColor="text1"/>
                                <w:sz w:val="24"/>
                                <w:szCs w:val="24"/>
                              </w:rPr>
                              <w:t xml:space="preserve"> Active learning techniques used in NFDP-2020.</w:t>
                            </w:r>
                          </w:p>
                        </w:txbxContent>
                      </wps:txbx>
                      <wps:bodyPr rot="0" vert="horz" wrap="square" lIns="91440" tIns="45720" rIns="91440" bIns="45720" anchor="t" anchorCtr="0">
                        <a:spAutoFit/>
                      </wps:bodyPr>
                    </wps:wsp>
                  </a:graphicData>
                </a:graphic>
              </wp:inline>
            </w:drawing>
          </mc:Choice>
          <mc:Fallback>
            <w:pict>
              <v:shape w14:anchorId="277B2BF6" id="_x0000_s1028" type="#_x0000_t202" style="width:3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">
                <v:textbox style="mso-fit-shape-to-text:t">
                  <w:txbxContent>
                    <w:p w14:paraId="5E7BF712" w14:textId="77777777" w:rsidR="00511512" w:rsidRDefault="00511512" w:rsidP="00511512">
                      <w:pPr>
                        <w:spacing w:line="276" w:lineRule="auto"/>
                      </w:pPr>
                      <w:r w:rsidRPr="0025003E">
                        <w:rPr>
                          <w:rFonts w:ascii="Times New Roman" w:eastAsia="Calibri" w:hAnsi="Times New Roman" w:cs="Times New Roman"/>
                          <w:b/>
                          <w:bCs/>
                          <w:color w:val="000000" w:themeColor="text1"/>
                          <w:sz w:val="24"/>
                          <w:szCs w:val="24"/>
                        </w:rPr>
                        <w:t>Figure 3.</w:t>
                      </w:r>
                      <w:r w:rsidRPr="0025003E">
                        <w:rPr>
                          <w:rFonts w:ascii="Times New Roman" w:eastAsia="Calibri" w:hAnsi="Times New Roman" w:cs="Times New Roman"/>
                          <w:color w:val="000000" w:themeColor="text1"/>
                          <w:sz w:val="24"/>
                          <w:szCs w:val="24"/>
                        </w:rPr>
                        <w:t xml:space="preserve"> Active learning techniques used in NFDP-2020.</w:t>
                      </w:r>
                    </w:p>
                  </w:txbxContent>
                </v:textbox>
                <w10:anchorlock/>
              </v:shape>
            </w:pict>
          </mc:Fallback>
        </mc:AlternateContent>
      </w:r>
    </w:p>
    <w:p w14:paraId="75460430" w14:textId="77777777" w:rsidR="00511512" w:rsidRDefault="00511512" w:rsidP="00511512">
      <w:pPr>
        <w:spacing w:line="276" w:lineRule="auto"/>
        <w:rPr>
          <w:rFonts w:ascii="Times New Roman" w:eastAsia="Calibri" w:hAnsi="Times New Roman" w:cs="Times New Roman"/>
          <w:color w:val="000000" w:themeColor="text1"/>
          <w:sz w:val="24"/>
          <w:szCs w:val="24"/>
        </w:rPr>
      </w:pPr>
      <w:r w:rsidRPr="0025003E">
        <w:rPr>
          <w:rFonts w:ascii="Times New Roman" w:eastAsia="Calibri" w:hAnsi="Times New Roman" w:cs="Times New Roman"/>
          <w:color w:val="000000" w:themeColor="text1"/>
          <w:sz w:val="24"/>
          <w:szCs w:val="24"/>
        </w:rPr>
        <w:t xml:space="preserve">Active learning helped enhance equity and inclusion in NFDP-2020, and helped Fellows build capacity for enhancing equity and inclusion in their future classrooms. </w:t>
      </w:r>
      <w:r w:rsidRPr="0025003E">
        <w:rPr>
          <w:rFonts w:ascii="Times New Roman" w:eastAsia="Calibri" w:hAnsi="Times New Roman" w:cs="Times New Roman"/>
          <w:i/>
          <w:iCs/>
          <w:color w:val="000000" w:themeColor="text1"/>
          <w:sz w:val="24"/>
          <w:szCs w:val="24"/>
        </w:rPr>
        <w:t>Administratively</w:t>
      </w:r>
      <w:r w:rsidRPr="0025003E">
        <w:rPr>
          <w:rFonts w:ascii="Times New Roman" w:eastAsia="Calibri" w:hAnsi="Times New Roman" w:cs="Times New Roman"/>
          <w:color w:val="000000" w:themeColor="text1"/>
          <w:sz w:val="24"/>
          <w:szCs w:val="24"/>
        </w:rPr>
        <w:t xml:space="preserve">, the incorporation of interactive and social elements provided a way to track participation and quality of participation for assessment purposes. In </w:t>
      </w:r>
      <w:r w:rsidRPr="0025003E">
        <w:rPr>
          <w:rFonts w:ascii="Times New Roman" w:eastAsia="Calibri" w:hAnsi="Times New Roman" w:cs="Times New Roman"/>
          <w:i/>
          <w:iCs/>
          <w:color w:val="000000" w:themeColor="text1"/>
          <w:sz w:val="24"/>
          <w:szCs w:val="24"/>
        </w:rPr>
        <w:t>design</w:t>
      </w:r>
      <w:r w:rsidRPr="0025003E">
        <w:rPr>
          <w:rFonts w:ascii="Times New Roman" w:eastAsia="Calibri" w:hAnsi="Times New Roman" w:cs="Times New Roman"/>
          <w:color w:val="000000" w:themeColor="text1"/>
          <w:sz w:val="24"/>
          <w:szCs w:val="24"/>
        </w:rPr>
        <w:t xml:space="preserve">, NFDP-2020 employed active learning, adopted technologies to support active learning (e.g., </w:t>
      </w:r>
      <w:proofErr w:type="spellStart"/>
      <w:r w:rsidRPr="0025003E">
        <w:rPr>
          <w:rFonts w:ascii="Times New Roman" w:eastAsia="Calibri" w:hAnsi="Times New Roman" w:cs="Times New Roman"/>
          <w:color w:val="000000" w:themeColor="text1"/>
          <w:sz w:val="24"/>
          <w:szCs w:val="24"/>
        </w:rPr>
        <w:t>Perusall</w:t>
      </w:r>
      <w:proofErr w:type="spellEnd"/>
      <w:r w:rsidRPr="0025003E">
        <w:rPr>
          <w:rFonts w:ascii="Times New Roman" w:eastAsia="Calibri" w:hAnsi="Times New Roman" w:cs="Times New Roman"/>
          <w:color w:val="000000" w:themeColor="text1"/>
          <w:sz w:val="24"/>
          <w:szCs w:val="24"/>
        </w:rPr>
        <w:t xml:space="preserve">), and included a module focused on improving capacity of Fellows for adopting active learning in their classrooms. In </w:t>
      </w:r>
      <w:r w:rsidRPr="0025003E">
        <w:rPr>
          <w:rFonts w:ascii="Times New Roman" w:eastAsia="Calibri" w:hAnsi="Times New Roman" w:cs="Times New Roman"/>
          <w:i/>
          <w:iCs/>
          <w:color w:val="000000" w:themeColor="text1"/>
          <w:sz w:val="24"/>
          <w:szCs w:val="24"/>
        </w:rPr>
        <w:t>delivery</w:t>
      </w:r>
      <w:r w:rsidRPr="0025003E">
        <w:rPr>
          <w:rFonts w:ascii="Times New Roman" w:eastAsia="Calibri" w:hAnsi="Times New Roman" w:cs="Times New Roman"/>
          <w:color w:val="000000" w:themeColor="text1"/>
          <w:sz w:val="24"/>
          <w:szCs w:val="24"/>
        </w:rPr>
        <w:t xml:space="preserve">, one example is a Reading Boot Camp session that included social reading, small group discussion, and a summary written report. </w:t>
      </w:r>
    </w:p>
    <w:p w14:paraId="1A1BA8A4" w14:textId="77777777" w:rsidR="00511512" w:rsidRPr="0025003E" w:rsidRDefault="00511512" w:rsidP="00511512">
      <w:pPr>
        <w:spacing w:line="276" w:lineRule="auto"/>
        <w:rPr>
          <w:rFonts w:ascii="Times New Roman" w:eastAsia="Calibri" w:hAnsi="Times New Roman" w:cs="Times New Roman"/>
          <w:color w:val="000000" w:themeColor="text1"/>
          <w:sz w:val="24"/>
          <w:szCs w:val="24"/>
        </w:rPr>
      </w:pPr>
      <w:r w:rsidRPr="0025003E">
        <w:rPr>
          <w:rFonts w:ascii="Times New Roman" w:eastAsia="Calibri" w:hAnsi="Times New Roman" w:cs="Times New Roman"/>
          <w:color w:val="000000" w:themeColor="text1"/>
          <w:sz w:val="24"/>
          <w:szCs w:val="24"/>
        </w:rPr>
        <w:t>The assignment required Fellows to find, and reference, additional research-based sources of evidence of benefits of active learning for equity and inclusion to complement the assigned reading (</w:t>
      </w:r>
      <w:proofErr w:type="spellStart"/>
      <w:r w:rsidRPr="0025003E">
        <w:rPr>
          <w:rFonts w:ascii="Times New Roman" w:eastAsia="Calibri" w:hAnsi="Times New Roman" w:cs="Times New Roman"/>
          <w:color w:val="000000" w:themeColor="text1"/>
          <w:sz w:val="24"/>
          <w:szCs w:val="24"/>
        </w:rPr>
        <w:t>Brame</w:t>
      </w:r>
      <w:proofErr w:type="spellEnd"/>
      <w:r w:rsidRPr="0025003E">
        <w:rPr>
          <w:rFonts w:ascii="Times New Roman" w:eastAsia="Calibri" w:hAnsi="Times New Roman" w:cs="Times New Roman"/>
          <w:color w:val="000000" w:themeColor="text1"/>
          <w:sz w:val="24"/>
          <w:szCs w:val="24"/>
        </w:rPr>
        <w:t xml:space="preserve"> 2016). This activity introduced Fellows to the concept of how learning activities can be designed to enhance learning </w:t>
      </w:r>
      <w:r w:rsidRPr="0025003E">
        <w:rPr>
          <w:rFonts w:ascii="Times New Roman" w:eastAsia="Calibri" w:hAnsi="Times New Roman" w:cs="Times New Roman"/>
          <w:color w:val="000000" w:themeColor="text1"/>
          <w:sz w:val="24"/>
          <w:szCs w:val="24"/>
          <w:u w:val="single"/>
        </w:rPr>
        <w:t>and</w:t>
      </w:r>
      <w:r w:rsidRPr="0025003E">
        <w:rPr>
          <w:rFonts w:ascii="Times New Roman" w:eastAsia="Calibri" w:hAnsi="Times New Roman" w:cs="Times New Roman"/>
          <w:color w:val="000000" w:themeColor="text1"/>
          <w:sz w:val="24"/>
          <w:szCs w:val="24"/>
        </w:rPr>
        <w:t xml:space="preserve"> to help achieve other outcomes, which was how we used the activity. Throughout planning, designing, and executing NFDP-2020, the instructors found ways to use active learning to support the learning objectives and to enhance participation and success of underrepresented groups. </w:t>
      </w:r>
    </w:p>
    <w:p w14:paraId="32215127" w14:textId="77777777" w:rsidR="00511512" w:rsidRPr="0025003E" w:rsidRDefault="00511512" w:rsidP="00511512">
      <w:pPr>
        <w:spacing w:line="276" w:lineRule="auto"/>
        <w:rPr>
          <w:rFonts w:ascii="Times New Roman" w:eastAsia="Calibri" w:hAnsi="Times New Roman" w:cs="Times New Roman"/>
          <w:color w:val="000000" w:themeColor="text1"/>
          <w:sz w:val="24"/>
          <w:szCs w:val="24"/>
          <w:highlight w:val="yellow"/>
        </w:rPr>
      </w:pPr>
      <w:r w:rsidRPr="0025003E">
        <w:rPr>
          <w:rFonts w:ascii="Times New Roman" w:eastAsia="Calibri" w:hAnsi="Times New Roman" w:cs="Times New Roman"/>
          <w:color w:val="000000" w:themeColor="text1"/>
          <w:sz w:val="24"/>
          <w:szCs w:val="24"/>
        </w:rPr>
        <w:t xml:space="preserve">Reflecting on NFDP-2020, the use of active learning seemed to have increased engagement of Fellows. Unsolicited feedback from Fellows noted repeatedly the enthusiasm for the interactive features during seminars, the use of </w:t>
      </w:r>
      <w:proofErr w:type="spellStart"/>
      <w:r w:rsidRPr="0025003E">
        <w:rPr>
          <w:rFonts w:ascii="Times New Roman" w:eastAsia="Calibri" w:hAnsi="Times New Roman" w:cs="Times New Roman"/>
          <w:color w:val="000000" w:themeColor="text1"/>
          <w:sz w:val="24"/>
          <w:szCs w:val="24"/>
        </w:rPr>
        <w:t>Perusall</w:t>
      </w:r>
      <w:proofErr w:type="spellEnd"/>
      <w:r w:rsidRPr="0025003E">
        <w:rPr>
          <w:rFonts w:ascii="Times New Roman" w:eastAsia="Calibri" w:hAnsi="Times New Roman" w:cs="Times New Roman"/>
          <w:color w:val="000000" w:themeColor="text1"/>
          <w:sz w:val="24"/>
          <w:szCs w:val="24"/>
        </w:rPr>
        <w:t xml:space="preserve"> for social annotation, the building of relationships during the teamwork, and more. The effectiveness of active learning for promoting equity and inclusion in NFDP-2020 was less clear. There was no indicator of achieving this objective other than the one </w:t>
      </w:r>
      <w:r w:rsidRPr="00394EEE">
        <w:rPr>
          <w:rFonts w:ascii="Times New Roman" w:eastAsia="Calibri" w:hAnsi="Times New Roman" w:cs="Times New Roman"/>
          <w:color w:val="000000" w:themeColor="text1"/>
          <w:sz w:val="24"/>
          <w:szCs w:val="24"/>
        </w:rPr>
        <w:t>noted</w:t>
      </w:r>
      <w:r w:rsidRPr="0025003E">
        <w:rPr>
          <w:rFonts w:ascii="Times New Roman" w:eastAsia="Calibri" w:hAnsi="Times New Roman" w:cs="Times New Roman"/>
          <w:color w:val="000000" w:themeColor="text1"/>
          <w:sz w:val="24"/>
          <w:szCs w:val="24"/>
        </w:rPr>
        <w:t xml:space="preserve">. The instructional team anticipated seeing stronger participation of females and this was observed in chat and in office hours. However, the translation of this to encourage Fellows to apply active learning to achieve equity and inclusion objectives at their institution remains to be observed in the future. </w:t>
      </w:r>
    </w:p>
    <w:p w14:paraId="43331A23" w14:textId="77777777" w:rsidR="00511512" w:rsidRPr="0025003E" w:rsidRDefault="00511512" w:rsidP="00511512">
      <w:pPr>
        <w:spacing w:line="276"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From o</w:t>
      </w:r>
      <w:r w:rsidRPr="0025003E">
        <w:rPr>
          <w:rFonts w:ascii="Times New Roman" w:eastAsia="Calibri" w:hAnsi="Times New Roman" w:cs="Times New Roman"/>
          <w:color w:val="000000" w:themeColor="text1"/>
          <w:sz w:val="24"/>
          <w:szCs w:val="24"/>
        </w:rPr>
        <w:t>ffering NFDP-2020 online and with a large cohort (50-200 participants), we learned the importance of providing extra structure and clarity for active learning exercises. We also adapted ways to reinforce instructional content using office hours and other engagements to help Fellows view their teaching approach through a lens of equity and inclusion. The next sub-section describes the NFDP-2020 approaches to engaging Fellows in an online setting.</w:t>
      </w:r>
    </w:p>
    <w:p w14:paraId="1A7E89CF" w14:textId="77777777" w:rsidR="00511512" w:rsidRPr="00394EEE" w:rsidRDefault="00511512" w:rsidP="00511512">
      <w:pPr>
        <w:pStyle w:val="Heading2"/>
        <w:numPr>
          <w:ilvl w:val="1"/>
          <w:numId w:val="2"/>
        </w:numPr>
        <w:tabs>
          <w:tab w:val="num" w:pos="360"/>
        </w:tabs>
      </w:pPr>
      <w:r>
        <w:t xml:space="preserve"> </w:t>
      </w:r>
      <w:r w:rsidRPr="00394EEE">
        <w:t xml:space="preserve">Engagement </w:t>
      </w:r>
      <w:r>
        <w:t>‘</w:t>
      </w:r>
      <w:r w:rsidRPr="00394EEE">
        <w:t>Outside</w:t>
      </w:r>
      <w:r>
        <w:t>’</w:t>
      </w:r>
      <w:r w:rsidRPr="00394EEE">
        <w:t xml:space="preserve"> the Online Classroom</w:t>
      </w:r>
    </w:p>
    <w:p w14:paraId="03797C8E" w14:textId="77777777" w:rsidR="00511512" w:rsidRPr="0025003E" w:rsidRDefault="00511512" w:rsidP="00511512">
      <w:pPr>
        <w:spacing w:line="276" w:lineRule="auto"/>
        <w:rPr>
          <w:rFonts w:ascii="Times New Roman" w:hAnsi="Times New Roman" w:cs="Times New Roman"/>
          <w:sz w:val="24"/>
          <w:szCs w:val="24"/>
        </w:rPr>
      </w:pPr>
      <w:r w:rsidRPr="0025003E">
        <w:rPr>
          <w:rFonts w:ascii="Times New Roman" w:hAnsi="Times New Roman" w:cs="Times New Roman"/>
          <w:sz w:val="24"/>
          <w:szCs w:val="24"/>
        </w:rPr>
        <w:t xml:space="preserve">Training new faculty members to be effective teachers and researchers is fraught with several difficulties </w:t>
      </w:r>
      <w:r w:rsidRPr="0025003E">
        <w:rPr>
          <w:rFonts w:ascii="Times New Roman" w:hAnsi="Times New Roman" w:cs="Times New Roman"/>
          <w:sz w:val="24"/>
          <w:szCs w:val="24"/>
        </w:rPr>
        <w:fldChar w:fldCharType="begin" w:fldLock="1"/>
      </w:r>
      <w:r w:rsidRPr="0025003E">
        <w:rPr>
          <w:rFonts w:ascii="Times New Roman" w:hAnsi="Times New Roman" w:cs="Times New Roman"/>
          <w:sz w:val="24"/>
          <w:szCs w:val="24"/>
        </w:rPr>
        <w:instrText>ADDIN CSL_CITATION {"citationItems":[{"id":"ITEM-1","itemData":{"DOI":"10.1187/cbe.12-09-0163","ISSN":"19317913","PMID":"23222828","abstract":"The time has come for all biology faculty, particularly those who teach undergraduates, to develop a coordinated and sustainable plan for implementing sound principles of teaching and learning to improve the quality of undergraduate biology education nationwide. © 2012 The American Society for Cell Biology.","author":[{"dropping-particle":"","family":"Brownell","given":"Sara E.","non-dropping-particle":"","parse-names":false,"suffix":""},{"dropping-particle":"","family":"Tanner","given":"Kimberly D.","non-dropping-particle":"","parse-names":false,"suffix":""}],"container-title":"CBE Life Sciences Education","id":"ITEM-1","issue":"4","issued":{"date-parts":[["2012"]]},"page":"339-346","title":"Barriers to faculty pedagogical change: Lack of training, time, incentives, and...tensions with professional identity?","type":"article-journal","volume":"11"},"uris":["http://www.mendeley.com/documents/?uuid=872e659c-6b75-4c36-9a3c-d9a5cd074849"]}],"mendeley":{"formattedCitation":"(Brownell and Tanner 2012)","plainTextFormattedCitation":"(Brownell and Tanner 2012)"},"properties":{"noteIndex":0},"schema":"https://github.com/citation-style-language/schema/raw/master/csl-citation.json"}</w:instrText>
      </w:r>
      <w:r w:rsidRPr="0025003E">
        <w:rPr>
          <w:rFonts w:ascii="Times New Roman" w:hAnsi="Times New Roman" w:cs="Times New Roman"/>
          <w:sz w:val="24"/>
          <w:szCs w:val="24"/>
        </w:rPr>
        <w:fldChar w:fldCharType="separate"/>
      </w:r>
      <w:r w:rsidRPr="0025003E">
        <w:rPr>
          <w:rFonts w:ascii="Times New Roman" w:hAnsi="Times New Roman" w:cs="Times New Roman"/>
          <w:noProof/>
          <w:sz w:val="24"/>
          <w:szCs w:val="24"/>
        </w:rPr>
        <w:t>(Brownell and Tanner 2012)</w:t>
      </w:r>
      <w:r w:rsidRPr="0025003E">
        <w:rPr>
          <w:rFonts w:ascii="Times New Roman" w:hAnsi="Times New Roman" w:cs="Times New Roman"/>
          <w:sz w:val="24"/>
          <w:szCs w:val="24"/>
        </w:rPr>
        <w:fldChar w:fldCharType="end"/>
      </w:r>
      <w:r w:rsidRPr="0025003E">
        <w:rPr>
          <w:rFonts w:ascii="Times New Roman" w:hAnsi="Times New Roman" w:cs="Times New Roman"/>
          <w:sz w:val="24"/>
          <w:szCs w:val="24"/>
        </w:rPr>
        <w:t xml:space="preserve">. Doing so in an online setting amidst a pandemic introduced additional challenges, foremost of which were student engagement and developing community. </w:t>
      </w:r>
    </w:p>
    <w:p w14:paraId="66AC0975" w14:textId="77777777" w:rsidR="00511512" w:rsidRDefault="00511512" w:rsidP="00511512">
      <w:pPr>
        <w:spacing w:line="276" w:lineRule="auto"/>
        <w:rPr>
          <w:rFonts w:ascii="Times New Roman" w:hAnsi="Times New Roman" w:cs="Times New Roman"/>
          <w:sz w:val="24"/>
          <w:szCs w:val="24"/>
        </w:rPr>
      </w:pPr>
      <w:r w:rsidRPr="0025003E">
        <w:rPr>
          <w:rFonts w:ascii="Times New Roman" w:hAnsi="Times New Roman" w:cs="Times New Roman"/>
          <w:sz w:val="24"/>
          <w:szCs w:val="24"/>
        </w:rPr>
        <w:t xml:space="preserve">A significant body of research shows the importance of focused interaction between instructor and students in improving learning outcomes </w:t>
      </w:r>
      <w:r w:rsidRPr="0025003E">
        <w:rPr>
          <w:rFonts w:ascii="Times New Roman" w:hAnsi="Times New Roman" w:cs="Times New Roman"/>
          <w:sz w:val="24"/>
          <w:szCs w:val="24"/>
        </w:rPr>
        <w:fldChar w:fldCharType="begin" w:fldLock="1"/>
      </w:r>
      <w:r w:rsidRPr="0025003E">
        <w:rPr>
          <w:rFonts w:ascii="Times New Roman" w:hAnsi="Times New Roman" w:cs="Times New Roman"/>
          <w:sz w:val="24"/>
          <w:szCs w:val="24"/>
        </w:rPr>
        <w:instrText>ADDIN CSL_CITATION {"citationItems":[{"id":"ITEM-1","itemData":{"DOI":"10.1002/j.2168-9830.2004.tb00799.x","ISSN":"10694730","abstract":"Previous research has identified several variables that affect students' course satisfaction and gains in learning outcomes. The purpose of this article is to provide the reader with insights about the relationships between faculty-student interaction and students' perceptions of selected skills and attitudes. This study specifically examined the relationships between engineering faculty teaching practices, classroom climate, and students' perceptions of their gains in communication skills, problem-solving skills, occupational awareness, and engineering competence in a curriculum emphasizing engineering design activities. Data were gathered from more than 1,500 students taking the first-year design course offered at 19 campuses of the Penn State system over a period of two years. The results suggest that faculty interacting with and providing constructive feedback to students were significantly and positively related to students' self-reported gains in several design and professional skills. These relationships remained after controlling for student demographic characteristics and campus location. Recommendations regarding specific teaching practices are provided.","author":[{"dropping-particle":"","family":"Bjorklund","given":"Stefani A.","non-dropping-particle":"","parse-names":false,"suffix":""},{"dropping-particle":"","family":"Parente","given":"John M.","non-dropping-particle":"","parse-names":false,"suffix":""},{"dropping-particle":"","family":"Sathianathan","given":"Dhushy","non-dropping-particle":"","parse-names":false,"suffix":""}],"container-title":"Journal of Engineering Education","id":"ITEM-1","issue":"2","issued":{"date-parts":[["2004"]]},"page":"153-160","title":"Effects of faculty interaction and feedback on gains in student skills","type":"article-journal","volume":"93"},"uris":["http://www.mendeley.com/documents/?uuid=320df00c-6c78-4fc1-9a24-effec9c7bcd7"]},{"id":"ITEM-2","itemData":{"DOI":"10.1353/csd.2004.0061","ISSN":"08975264","abstract":"Student engagement with faculty members and its relationship to learning was investigated for students of seven different racial/ ethnic groups (N = 4,501), yielding small differences by student race/ethnicity. Relationships with faculty were stronger predictors of learning than student background characteristics for all groups, but strongest for students of color.","author":[{"dropping-particle":"","family":"Lundberg","given":"Carol A.","non-dropping-particle":"","parse-names":false,"suffix":""},{"dropping-particle":"","family":"Schreiner","given":"Laurie A.","non-dropping-particle":"","parse-names":false,"suffix":""}],"container-title":"Journal of College Student Development","id":"ITEM-2","issue":"5","issued":{"date-parts":[["2004"]]},"page":"549-565","title":"Quality and frequency of faculty-student interaction as predictors of learning: An analysis by student race/ethnicity","type":"article-journal","volume":"45"},"uris":["http://www.mendeley.com/documents/?uuid=ea149b01-4f47-445b-8970-77c4c1995d0a"]}],"mendeley":{"formattedCitation":"(Bjorklund et al. 2004; Lundberg and Schreiner 2004)","plainTextFormattedCitation":"(Bjorklund et al. 2004; Lundberg and Schreiner 2004)","previouslyFormattedCitation":"(Bjorklund et al. 2004; Lundberg and Schreiner 2004)"},"properties":{"noteIndex":0},"schema":"https://github.com/citation-style-language/schema/raw/master/csl-citation.json"}</w:instrText>
      </w:r>
      <w:r w:rsidRPr="0025003E">
        <w:rPr>
          <w:rFonts w:ascii="Times New Roman" w:hAnsi="Times New Roman" w:cs="Times New Roman"/>
          <w:sz w:val="24"/>
          <w:szCs w:val="24"/>
        </w:rPr>
        <w:fldChar w:fldCharType="separate"/>
      </w:r>
      <w:r w:rsidRPr="0025003E">
        <w:rPr>
          <w:rFonts w:ascii="Times New Roman" w:hAnsi="Times New Roman" w:cs="Times New Roman"/>
          <w:noProof/>
          <w:sz w:val="24"/>
          <w:szCs w:val="24"/>
        </w:rPr>
        <w:t>(Bjorklund et al. 2004; Lundberg and Schreiner 2004)</w:t>
      </w:r>
      <w:r w:rsidRPr="0025003E">
        <w:rPr>
          <w:rFonts w:ascii="Times New Roman" w:hAnsi="Times New Roman" w:cs="Times New Roman"/>
          <w:sz w:val="24"/>
          <w:szCs w:val="24"/>
        </w:rPr>
        <w:fldChar w:fldCharType="end"/>
      </w:r>
      <w:r w:rsidRPr="0025003E">
        <w:rPr>
          <w:rFonts w:ascii="Times New Roman" w:hAnsi="Times New Roman" w:cs="Times New Roman"/>
          <w:sz w:val="24"/>
          <w:szCs w:val="24"/>
        </w:rPr>
        <w:t xml:space="preserve">. For the NFDP, the large </w:t>
      </w:r>
      <w:r w:rsidRPr="00063A72">
        <w:rPr>
          <w:rFonts w:ascii="Times New Roman" w:hAnsi="Times New Roman" w:cs="Times New Roman"/>
          <w:sz w:val="24"/>
          <w:szCs w:val="24"/>
        </w:rPr>
        <w:t xml:space="preserve">cohort </w:t>
      </w:r>
      <w:r w:rsidRPr="0025003E">
        <w:rPr>
          <w:rFonts w:ascii="Times New Roman" w:hAnsi="Times New Roman" w:cs="Times New Roman"/>
          <w:sz w:val="24"/>
          <w:szCs w:val="24"/>
        </w:rPr>
        <w:t xml:space="preserve">size meant that it was not possible to respond to each Fellow’s query during the daily webinar. </w:t>
      </w:r>
      <w:r>
        <w:rPr>
          <w:rFonts w:ascii="Times New Roman" w:hAnsi="Times New Roman" w:cs="Times New Roman"/>
          <w:sz w:val="24"/>
          <w:szCs w:val="24"/>
        </w:rPr>
        <w:t>As each cohort had been subdivided into sections, with each section led by an instructor and supported by Assistant Mentors, t</w:t>
      </w:r>
      <w:r w:rsidRPr="0025003E">
        <w:rPr>
          <w:rFonts w:ascii="Times New Roman" w:hAnsi="Times New Roman" w:cs="Times New Roman"/>
          <w:sz w:val="24"/>
          <w:szCs w:val="24"/>
        </w:rPr>
        <w:t>o fill this gap, a separate office hour was conducted daily for each section of the cohort.</w:t>
      </w:r>
    </w:p>
    <w:p w14:paraId="70F3BE58" w14:textId="77777777" w:rsidR="00511512" w:rsidRPr="0025003E" w:rsidRDefault="00511512" w:rsidP="00511512">
      <w:pPr>
        <w:spacing w:line="276" w:lineRule="auto"/>
        <w:rPr>
          <w:rFonts w:ascii="Times New Roman" w:hAnsi="Times New Roman" w:cs="Times New Roman"/>
          <w:sz w:val="24"/>
          <w:szCs w:val="24"/>
        </w:rPr>
      </w:pPr>
      <w:r w:rsidRPr="0025003E">
        <w:rPr>
          <w:rFonts w:ascii="Times New Roman" w:hAnsi="Times New Roman" w:cs="Times New Roman"/>
          <w:sz w:val="24"/>
          <w:szCs w:val="24"/>
        </w:rPr>
        <w:t xml:space="preserve">Unlike typical office hour sessions, instructors were actively involved in developing a (loose) agenda for the session; these sessions can alternatively be categorized as daily mentoring sessions which were more supportive of equity and inclusion than the standard office hour model of ‘come as you are and ask </w:t>
      </w:r>
      <w:proofErr w:type="gramStart"/>
      <w:r w:rsidRPr="0025003E">
        <w:rPr>
          <w:rFonts w:ascii="Times New Roman" w:hAnsi="Times New Roman" w:cs="Times New Roman"/>
          <w:sz w:val="24"/>
          <w:szCs w:val="24"/>
        </w:rPr>
        <w:t>questions</w:t>
      </w:r>
      <w:r>
        <w:rPr>
          <w:rFonts w:ascii="Times New Roman" w:hAnsi="Times New Roman" w:cs="Times New Roman"/>
          <w:sz w:val="24"/>
          <w:szCs w:val="24"/>
        </w:rPr>
        <w:t>’</w:t>
      </w:r>
      <w:proofErr w:type="gramEnd"/>
      <w:r w:rsidRPr="0025003E">
        <w:rPr>
          <w:rFonts w:ascii="Times New Roman" w:hAnsi="Times New Roman" w:cs="Times New Roman"/>
          <w:sz w:val="24"/>
          <w:szCs w:val="24"/>
        </w:rPr>
        <w:t>. The primary goal for the office hour was to provide an opportunity to Fellows to ask any unanswered questions from the webinar, and to solicit feedback on the day’s activities. The office hour was held after the end of the scheduled activities for the day, and attendance was voluntary.</w:t>
      </w:r>
    </w:p>
    <w:p w14:paraId="51DA24F0" w14:textId="77777777" w:rsidR="00511512" w:rsidRPr="0025003E" w:rsidRDefault="00511512" w:rsidP="00511512">
      <w:pPr>
        <w:spacing w:line="276" w:lineRule="auto"/>
        <w:rPr>
          <w:rFonts w:ascii="Times New Roman" w:hAnsi="Times New Roman" w:cs="Times New Roman"/>
          <w:sz w:val="24"/>
          <w:szCs w:val="24"/>
        </w:rPr>
      </w:pPr>
      <w:r w:rsidRPr="0025003E">
        <w:rPr>
          <w:rFonts w:ascii="Times New Roman" w:hAnsi="Times New Roman" w:cs="Times New Roman"/>
          <w:sz w:val="24"/>
          <w:szCs w:val="24"/>
        </w:rPr>
        <w:t xml:space="preserve">On average, between 50-70% of Fellows attended the office hour sessions on any given day. This number was consistent across cohorts, although some variation across sections and cohorts were observed. Those that attended the office hour were usually present from start to finish. In addition to the stated primary goal, the office hour provided an opportunity to Fellows to practice public speaking in English. Multiple fellows identified this as a key benefit of the entire training. Fellows would occasionally air grievances regarding other group members or bring up issues related to interpersonal conflicts. These office hours thus also served as a forum for instructors to model inclusivity and demonstrate conflict resolution approaches that Fellows could employ in their future careers. With each cohort comprising Fellows who completed their doctoral work in various countries and academic systems across the world, the office hour allowed for exchange of ideas and perspectives regarding pedagogical approaches. </w:t>
      </w:r>
    </w:p>
    <w:p w14:paraId="38C7E57A" w14:textId="77777777" w:rsidR="00511512" w:rsidRPr="0025003E" w:rsidRDefault="00511512" w:rsidP="00511512">
      <w:pPr>
        <w:spacing w:line="276" w:lineRule="auto"/>
        <w:rPr>
          <w:rFonts w:ascii="Times New Roman" w:hAnsi="Times New Roman" w:cs="Times New Roman"/>
          <w:sz w:val="24"/>
          <w:szCs w:val="24"/>
        </w:rPr>
      </w:pPr>
      <w:r w:rsidRPr="0025003E">
        <w:rPr>
          <w:rFonts w:ascii="Times New Roman" w:hAnsi="Times New Roman" w:cs="Times New Roman"/>
          <w:sz w:val="24"/>
          <w:szCs w:val="24"/>
        </w:rPr>
        <w:t xml:space="preserve">To encourage Fellows to attend and participate actively in the office hour, efforts were made to involve them in logistics, which educational literature suggests can improve effectiveness of office hours </w:t>
      </w:r>
      <w:r w:rsidRPr="0025003E">
        <w:rPr>
          <w:rFonts w:ascii="Times New Roman" w:hAnsi="Times New Roman" w:cs="Times New Roman"/>
          <w:sz w:val="24"/>
          <w:szCs w:val="24"/>
        </w:rPr>
        <w:fldChar w:fldCharType="begin" w:fldLock="1"/>
      </w:r>
      <w:r w:rsidRPr="0025003E">
        <w:rPr>
          <w:rFonts w:ascii="Times New Roman" w:hAnsi="Times New Roman" w:cs="Times New Roman"/>
          <w:sz w:val="24"/>
          <w:szCs w:val="24"/>
        </w:rPr>
        <w:instrText>ADDIN CSL_CITATION {"citationItems":[{"id":"ITEM-1","itemData":{"DOI":"10.1080/87567555.2014.896777","ISSN":"19308299","abstract":"As part of best practices for increasing faculty-student interaction, higher education institutions across the country require faculty members to hold office hours. Various studies have reported factors affecting student use of office hours; however, results are unclear at best and in some cases conflicting with respect to which factors matter most, as in the case of instructor approachability. We present results from a survey of undergraduate student perceptions at a large, mid-Atlantic public research university. Factors that significantly (p &lt; 0.05) affect student use of office hours are largely out of instructors’ control with at least one important exception: usefulness of instructor feedback. We offer best practices for increasing student use of office hours and suggest directions for additional research on the use and purpose of office hours.","author":[{"dropping-particle":"","family":"Griffin","given":"Whitney","non-dropping-particle":"","parse-names":false,"suffix":""},{"dropping-particle":"","family":"Cohen","given":"Steven D.","non-dropping-particle":"","parse-names":false,"suffix":""},{"dropping-particle":"","family":"Berndtson","given":"Rachel","non-dropping-particle":"","parse-names":false,"suffix":""},{"dropping-particle":"","family":"Burson","given":"Kristen M.","non-dropping-particle":"","parse-names":false,"suffix":""},{"dropping-particle":"","family":"Camper","given":"K. Martin","non-dropping-particle":"","parse-names":false,"suffix":""},{"dropping-particle":"","family":"Chen","given":"Yujie","non-dropping-particle":"","parse-names":false,"suffix":""},{"dropping-particle":"","family":"Smith","given":"Margaret Austin","non-dropping-particle":"","parse-names":false,"suffix":""}],"container-title":"College Teaching","id":"ITEM-1","issue":"3","issued":{"date-parts":[["2014"]]},"page":"94-99","title":"Starting the Conversation: An Exploratory Study of Factors That Influence Student Office Hour Use","type":"article-journal","volume":"62"},"uris":["http://www.mendeley.com/documents/?uuid=fbbc23b3-50b8-4e30-bb99-93ab83efb2c9"]}],"mendeley":{"formattedCitation":"(Griffin et al. 2014)","plainTextFormattedCitation":"(Griffin et al. 2014)","previouslyFormattedCitation":"(Griffin et al. 2014)"},"properties":{"noteIndex":0},"schema":"https://github.com/citation-style-language/schema/raw/master/csl-citation.json"}</w:instrText>
      </w:r>
      <w:r w:rsidRPr="0025003E">
        <w:rPr>
          <w:rFonts w:ascii="Times New Roman" w:hAnsi="Times New Roman" w:cs="Times New Roman"/>
          <w:sz w:val="24"/>
          <w:szCs w:val="24"/>
        </w:rPr>
        <w:fldChar w:fldCharType="separate"/>
      </w:r>
      <w:r w:rsidRPr="0025003E">
        <w:rPr>
          <w:rFonts w:ascii="Times New Roman" w:hAnsi="Times New Roman" w:cs="Times New Roman"/>
          <w:noProof/>
          <w:sz w:val="24"/>
          <w:szCs w:val="24"/>
        </w:rPr>
        <w:t>(Griffin et al. 2014)</w:t>
      </w:r>
      <w:r w:rsidRPr="0025003E">
        <w:rPr>
          <w:rFonts w:ascii="Times New Roman" w:hAnsi="Times New Roman" w:cs="Times New Roman"/>
          <w:sz w:val="24"/>
          <w:szCs w:val="24"/>
        </w:rPr>
        <w:fldChar w:fldCharType="end"/>
      </w:r>
      <w:r w:rsidRPr="0025003E">
        <w:rPr>
          <w:rFonts w:ascii="Times New Roman" w:hAnsi="Times New Roman" w:cs="Times New Roman"/>
          <w:sz w:val="24"/>
          <w:szCs w:val="24"/>
        </w:rPr>
        <w:t>. The timing</w:t>
      </w:r>
      <w:r>
        <w:rPr>
          <w:rFonts w:ascii="Times New Roman" w:hAnsi="Times New Roman" w:cs="Times New Roman"/>
          <w:sz w:val="24"/>
          <w:szCs w:val="24"/>
        </w:rPr>
        <w:t>s</w:t>
      </w:r>
      <w:r w:rsidRPr="0025003E">
        <w:rPr>
          <w:rFonts w:ascii="Times New Roman" w:hAnsi="Times New Roman" w:cs="Times New Roman"/>
          <w:sz w:val="24"/>
          <w:szCs w:val="24"/>
        </w:rPr>
        <w:t xml:space="preserve"> for the office hour were decided through a poll at </w:t>
      </w:r>
      <w:r w:rsidRPr="0025003E">
        <w:rPr>
          <w:rFonts w:ascii="Times New Roman" w:hAnsi="Times New Roman" w:cs="Times New Roman"/>
          <w:sz w:val="24"/>
          <w:szCs w:val="24"/>
        </w:rPr>
        <w:lastRenderedPageBreak/>
        <w:t>the start of the Cohort</w:t>
      </w:r>
      <w:r>
        <w:rPr>
          <w:rFonts w:ascii="Times New Roman" w:hAnsi="Times New Roman" w:cs="Times New Roman"/>
          <w:sz w:val="24"/>
          <w:szCs w:val="24"/>
        </w:rPr>
        <w:t>,</w:t>
      </w:r>
      <w:r w:rsidRPr="0025003E">
        <w:rPr>
          <w:rFonts w:ascii="Times New Roman" w:hAnsi="Times New Roman" w:cs="Times New Roman"/>
          <w:sz w:val="24"/>
          <w:szCs w:val="24"/>
        </w:rPr>
        <w:t xml:space="preserve"> ensuring that a time-slot convenient for most was selected; this was especially important for female Fellows. Fellows were not forced to participate; the more introverted ones preferred to observe silently on the sidelines. To help cement behaviors early on in the Cohort, the first few office hour</w:t>
      </w:r>
      <w:r>
        <w:rPr>
          <w:rFonts w:ascii="Times New Roman" w:hAnsi="Times New Roman" w:cs="Times New Roman"/>
          <w:sz w:val="24"/>
          <w:szCs w:val="24"/>
        </w:rPr>
        <w:t>s</w:t>
      </w:r>
      <w:r w:rsidRPr="0025003E">
        <w:rPr>
          <w:rFonts w:ascii="Times New Roman" w:hAnsi="Times New Roman" w:cs="Times New Roman"/>
          <w:sz w:val="24"/>
          <w:szCs w:val="24"/>
        </w:rPr>
        <w:t xml:space="preserve"> contained important information and were advertised more actively to improve attendance </w:t>
      </w:r>
      <w:r w:rsidRPr="0025003E">
        <w:rPr>
          <w:rFonts w:ascii="Times New Roman" w:hAnsi="Times New Roman" w:cs="Times New Roman"/>
          <w:sz w:val="24"/>
          <w:szCs w:val="24"/>
        </w:rPr>
        <w:fldChar w:fldCharType="begin" w:fldLock="1"/>
      </w:r>
      <w:r w:rsidRPr="0025003E">
        <w:rPr>
          <w:rFonts w:ascii="Times New Roman" w:hAnsi="Times New Roman" w:cs="Times New Roman"/>
          <w:sz w:val="24"/>
          <w:szCs w:val="24"/>
        </w:rPr>
        <w:instrText>ADDIN CSL_CITATION {"citationItems":[{"id":"ITEM-1","itemData":{"DOI":"10.1080/15512169.2013.835554","ISSN":"15512169","abstract":"Both students and instructors have somewhat negative perceptions of office hours. Students fail to attend office hours on a regular basis for substantive and intrinsic reasons. Instructors are often discouraged with low attendance in office hours and consequently may fail to invest a significant amount of time in reaching out to students. This study explores the connection between office-hour attendance and academic performance in political science courses. For eight political science courses over four years, we record the number of times students visit office hours and their course grades (N = 406). Our findings indicate that office-hour visits are positively correlated with academic performance. In providing quantitative evidence that office hours can have a real and significant effect on academic performance, we hope this study may encourage instructors to actively invest in office hours. We conclude the study by providing four simple strategies instructors may implement to encourage engagement with students in office hours. © 2013 Copyright Taylor and Francis Group, LLC.","author":[{"dropping-particle":"","family":"Guerrero","given":"Mario","non-dropping-particle":"","parse-names":false,"suffix":""},{"dropping-particle":"","family":"Rod","given":"Alisa Beth","non-dropping-particle":"","parse-names":false,"suffix":""}],"container-title":"Journal of Political Science Education","id":"ITEM-1","issue":"4","issued":{"date-parts":[["2013"]]},"page":"403-416","title":"Engaging in Office Hours: A Study of Student-Faculty Interaction and Academic Performance","type":"article-journal","volume":"9"},"uris":["http://www.mendeley.com/documents/?uuid=97841f77-3f16-44d9-9de8-8330456e0db1"]}],"mendeley":{"formattedCitation":"(Guerrero and Rod 2013)","plainTextFormattedCitation":"(Guerrero and Rod 2013)","previouslyFormattedCitation":"(Guerrero and Rod 2013)"},"properties":{"noteIndex":0},"schema":"https://github.com/citation-style-language/schema/raw/master/csl-citation.json"}</w:instrText>
      </w:r>
      <w:r w:rsidRPr="0025003E">
        <w:rPr>
          <w:rFonts w:ascii="Times New Roman" w:hAnsi="Times New Roman" w:cs="Times New Roman"/>
          <w:sz w:val="24"/>
          <w:szCs w:val="24"/>
        </w:rPr>
        <w:fldChar w:fldCharType="separate"/>
      </w:r>
      <w:r w:rsidRPr="0025003E">
        <w:rPr>
          <w:rFonts w:ascii="Times New Roman" w:hAnsi="Times New Roman" w:cs="Times New Roman"/>
          <w:noProof/>
          <w:sz w:val="24"/>
          <w:szCs w:val="24"/>
        </w:rPr>
        <w:t>(Guerrero and Rod 2013)</w:t>
      </w:r>
      <w:r w:rsidRPr="0025003E">
        <w:rPr>
          <w:rFonts w:ascii="Times New Roman" w:hAnsi="Times New Roman" w:cs="Times New Roman"/>
          <w:sz w:val="24"/>
          <w:szCs w:val="24"/>
        </w:rPr>
        <w:fldChar w:fldCharType="end"/>
      </w:r>
      <w:r w:rsidRPr="0025003E">
        <w:rPr>
          <w:rFonts w:ascii="Times New Roman" w:hAnsi="Times New Roman" w:cs="Times New Roman"/>
          <w:sz w:val="24"/>
          <w:szCs w:val="24"/>
        </w:rPr>
        <w:t>. Adopting these approaches and contextualizing them allowed for the office hours to become an integral part of the training program.</w:t>
      </w:r>
    </w:p>
    <w:p w14:paraId="67BB4E70" w14:textId="77777777" w:rsidR="00511512" w:rsidRPr="0025003E" w:rsidRDefault="00511512" w:rsidP="00511512">
      <w:pPr>
        <w:spacing w:line="276" w:lineRule="auto"/>
        <w:rPr>
          <w:rFonts w:ascii="Times New Roman" w:hAnsi="Times New Roman" w:cs="Times New Roman"/>
          <w:sz w:val="24"/>
          <w:szCs w:val="24"/>
        </w:rPr>
      </w:pPr>
      <w:r w:rsidRPr="0025003E">
        <w:rPr>
          <w:rFonts w:ascii="Times New Roman" w:hAnsi="Times New Roman" w:cs="Times New Roman"/>
          <w:sz w:val="24"/>
          <w:szCs w:val="24"/>
        </w:rPr>
        <w:t xml:space="preserve">Strong professional networks play an important role in early career success for faculty members, more so for women and underrepresented minorities </w:t>
      </w:r>
      <w:r w:rsidRPr="0025003E">
        <w:rPr>
          <w:rFonts w:ascii="Times New Roman" w:hAnsi="Times New Roman" w:cs="Times New Roman"/>
          <w:sz w:val="24"/>
          <w:szCs w:val="24"/>
        </w:rPr>
        <w:fldChar w:fldCharType="begin" w:fldLock="1"/>
      </w:r>
      <w:r w:rsidRPr="0025003E">
        <w:rPr>
          <w:rFonts w:ascii="Times New Roman" w:hAnsi="Times New Roman" w:cs="Times New Roman"/>
          <w:sz w:val="24"/>
          <w:szCs w:val="24"/>
        </w:rPr>
        <w:instrText>ADDIN CSL_CITATION {"citationItems":[{"id":"ITEM-1","itemData":{"DOI":"10.1016/j.pec.2014.06.013","ISBN":"4781497144","ISSN":"18735134","PMID":"25074842","abstract":"Whilst effective networking is vitally important for early career academics, understanding and establishing useful networks is challenging. This paper provides an overview of the benefits and challenges of networking in the academic field, particularly for early career academics, and reflects on the role of professional societies in facilitating networking.","author":[{"dropping-particle":"","family":"Ansmann","given":"Lena","non-dropping-particle":"","parse-names":false,"suffix":""},{"dropping-particle":"","family":"Flickinger","given":"Tabor E.","non-dropping-particle":"","parse-names":false,"suffix":""},{"dropping-particle":"","family":"Barello","given":"Serena","non-dropping-particle":"","parse-names":false,"suffix":""},{"dropping-particle":"","family":"Kunneman","given":"Marleen","non-dropping-particle":"","parse-names":false,"suffix":""},{"dropping-particle":"","family":"Mantwill","given":"Sarah","non-dropping-particle":"","parse-names":false,"suffix":""},{"dropping-particle":"","family":"Quilligan","given":"Sally","non-dropping-particle":"","parse-names":false,"suffix":""},{"dropping-particle":"","family":"Zanini","given":"Claudia","non-dropping-particle":"","parse-names":false,"suffix":""},{"dropping-particle":"","family":"Aelbrecht","given":"Karolien","non-dropping-particle":"","parse-names":false,"suffix":""}],"container-title":"Patient Education and Counseling","id":"ITEM-1","issue":"1","issued":{"date-parts":[["2014"]]},"page":"132-134","publisher":"Elsevier Ireland Ltd","title":"Career development for early career academics: Benefits of networking and the role of professional societies","type":"article-journal","volume":"97"},"uris":["http://www.mendeley.com/documents/?uuid=f4b53ffb-f639-4928-a84d-619f98ca363b"]},{"id":"ITEM-2","itemData":{"DOI":"10.1007/s10755-016-9359-6","ISSN":"15731758","abstract":"In the beginning, “Mutual Mentoring” was little more than an idea, a hopeful vision of the future in which a new model of mentoring could serve as a medium to better support early-career and underrepresented faculty. Over time, Mutual Mentoring evolved from an innovative idea to an ambitious pilot program to a fully operational, campus-wide initiative. This article describes the conceptualization, design, implementation, and evaluation of a Mutual Mentoring initiative from 2006 to 2014. Findings indicate that faculty members who participated in this initiative were more likely to regard mentoring as a career-enhancing activity as well as to develop mutually beneficial mentoring relationships than were their non-participating peers.","author":[{"dropping-particle":"","family":"Yun","given":"Jung H.","non-dropping-particle":"","parse-names":false,"suffix":""},{"dropping-particle":"","family":"Baldi","given":"Brian","non-dropping-particle":"","parse-names":false,"suffix":""},{"dropping-particle":"","family":"Sorcinelli","given":"Mary Deane","non-dropping-particle":"","parse-names":false,"suffix":""}],"container-title":"Innovative Higher Education","id":"ITEM-2","issue":"5","issued":{"date-parts":[["2016"]]},"page":"441-451","publisher":"Innovative Higher Education","title":"Mutual Mentoring for Early-Career and Underrepresented Faculty: Model, Research, and Practice","type":"article-journal","volume":"41"},"uris":["http://www.mendeley.com/documents/?uuid=52710feb-3eaf-40de-8f45-d2bedb848337"]}],"mendeley":{"formattedCitation":"(Ansmann et al. 2014; Yun et al. 2016)","plainTextFormattedCitation":"(Ansmann et al. 2014; Yun et al. 2016)","previouslyFormattedCitation":"(Ansmann et al. 2014; Yun et al. 2016)"},"properties":{"noteIndex":0},"schema":"https://github.com/citation-style-language/schema/raw/master/csl-citation.json"}</w:instrText>
      </w:r>
      <w:r w:rsidRPr="0025003E">
        <w:rPr>
          <w:rFonts w:ascii="Times New Roman" w:hAnsi="Times New Roman" w:cs="Times New Roman"/>
          <w:sz w:val="24"/>
          <w:szCs w:val="24"/>
        </w:rPr>
        <w:fldChar w:fldCharType="separate"/>
      </w:r>
      <w:r w:rsidRPr="0025003E">
        <w:rPr>
          <w:rFonts w:ascii="Times New Roman" w:hAnsi="Times New Roman" w:cs="Times New Roman"/>
          <w:noProof/>
          <w:sz w:val="24"/>
          <w:szCs w:val="24"/>
        </w:rPr>
        <w:t>(Ansmann et al. 2014; Yun et al. 2016)</w:t>
      </w:r>
      <w:r w:rsidRPr="0025003E">
        <w:rPr>
          <w:rFonts w:ascii="Times New Roman" w:hAnsi="Times New Roman" w:cs="Times New Roman"/>
          <w:sz w:val="24"/>
          <w:szCs w:val="24"/>
        </w:rPr>
        <w:fldChar w:fldCharType="end"/>
      </w:r>
      <w:r w:rsidRPr="0025003E">
        <w:rPr>
          <w:rFonts w:ascii="Times New Roman" w:hAnsi="Times New Roman" w:cs="Times New Roman"/>
          <w:sz w:val="24"/>
          <w:szCs w:val="24"/>
        </w:rPr>
        <w:t xml:space="preserve">. One of the goals for this Program was to provide opportunities for early career academics to build professional networks. This was especially important for Fellows who had completed their doctoral training outside of Pakistan. </w:t>
      </w:r>
      <w:r>
        <w:rPr>
          <w:rFonts w:ascii="Times New Roman" w:hAnsi="Times New Roman" w:cs="Times New Roman"/>
          <w:sz w:val="24"/>
          <w:szCs w:val="24"/>
        </w:rPr>
        <w:t>E</w:t>
      </w:r>
      <w:r w:rsidRPr="0025003E">
        <w:rPr>
          <w:rFonts w:ascii="Times New Roman" w:hAnsi="Times New Roman" w:cs="Times New Roman"/>
          <w:sz w:val="24"/>
          <w:szCs w:val="24"/>
        </w:rPr>
        <w:t>ach Fellow had been assigned a group using a methodology that attempted to maximize diversity and interdisciplinarity</w:t>
      </w:r>
      <w:r>
        <w:rPr>
          <w:rFonts w:ascii="Times New Roman" w:hAnsi="Times New Roman" w:cs="Times New Roman"/>
          <w:sz w:val="24"/>
          <w:szCs w:val="24"/>
        </w:rPr>
        <w:t>, and m</w:t>
      </w:r>
      <w:r w:rsidRPr="0025003E">
        <w:rPr>
          <w:rFonts w:ascii="Times New Roman" w:hAnsi="Times New Roman" w:cs="Times New Roman"/>
          <w:sz w:val="24"/>
          <w:szCs w:val="24"/>
        </w:rPr>
        <w:t xml:space="preserve">ost activities in the Program were group-based. Thus, the strongest network developed by each Fellow was that of their assigned group members, with whom they interacted for several hours a day for an entire month, and their self-selected Research Team, with whom they collaborated on the Research Practice modules. </w:t>
      </w:r>
    </w:p>
    <w:p w14:paraId="17BD05B7" w14:textId="77777777" w:rsidR="00511512" w:rsidRDefault="00511512" w:rsidP="00511512">
      <w:pPr>
        <w:spacing w:line="276" w:lineRule="auto"/>
        <w:rPr>
          <w:rFonts w:ascii="Times New Roman" w:hAnsi="Times New Roman" w:cs="Times New Roman"/>
          <w:sz w:val="24"/>
          <w:szCs w:val="24"/>
        </w:rPr>
      </w:pPr>
      <w:r w:rsidRPr="0025003E">
        <w:rPr>
          <w:rFonts w:ascii="Times New Roman" w:hAnsi="Times New Roman" w:cs="Times New Roman"/>
          <w:sz w:val="24"/>
          <w:szCs w:val="24"/>
        </w:rPr>
        <w:t xml:space="preserve">To allow for building connections beyond these groups, weekly ‘socials’ were organized where Fellows would be able to interact with peers in their Section. The goal for the Socials was to engage Fellows in fun activities as they networked with a larger pool of Fellows. The NFDP period overlapped with the time when many parts of the country were under a lockdown due to </w:t>
      </w:r>
      <w:r>
        <w:rPr>
          <w:rFonts w:ascii="Times New Roman" w:hAnsi="Times New Roman" w:cs="Times New Roman"/>
          <w:sz w:val="24"/>
          <w:szCs w:val="24"/>
        </w:rPr>
        <w:t>COVID</w:t>
      </w:r>
      <w:r w:rsidRPr="0025003E">
        <w:rPr>
          <w:rFonts w:ascii="Times New Roman" w:hAnsi="Times New Roman" w:cs="Times New Roman"/>
          <w:sz w:val="24"/>
          <w:szCs w:val="24"/>
        </w:rPr>
        <w:t xml:space="preserve">-19. In this context, these weekly socials </w:t>
      </w:r>
      <w:r>
        <w:rPr>
          <w:rFonts w:ascii="Times New Roman" w:hAnsi="Times New Roman" w:cs="Times New Roman"/>
          <w:sz w:val="24"/>
          <w:szCs w:val="24"/>
        </w:rPr>
        <w:t xml:space="preserve">also </w:t>
      </w:r>
      <w:r w:rsidRPr="0025003E">
        <w:rPr>
          <w:rFonts w:ascii="Times New Roman" w:hAnsi="Times New Roman" w:cs="Times New Roman"/>
          <w:sz w:val="24"/>
          <w:szCs w:val="24"/>
        </w:rPr>
        <w:t>provided Fellows</w:t>
      </w:r>
      <w:r>
        <w:rPr>
          <w:rFonts w:ascii="Times New Roman" w:hAnsi="Times New Roman" w:cs="Times New Roman"/>
          <w:sz w:val="24"/>
          <w:szCs w:val="24"/>
        </w:rPr>
        <w:t xml:space="preserve"> with</w:t>
      </w:r>
      <w:r w:rsidRPr="0025003E">
        <w:rPr>
          <w:rFonts w:ascii="Times New Roman" w:hAnsi="Times New Roman" w:cs="Times New Roman"/>
          <w:sz w:val="24"/>
          <w:szCs w:val="24"/>
        </w:rPr>
        <w:t xml:space="preserve"> an opportunity for social engagement. Thus, while participation was voluntary, these socials would be well attended (around 70-80% attendance). </w:t>
      </w:r>
    </w:p>
    <w:p w14:paraId="49910DF4" w14:textId="77777777" w:rsidR="00511512" w:rsidRPr="0025003E" w:rsidRDefault="00511512" w:rsidP="00511512">
      <w:pPr>
        <w:spacing w:line="276" w:lineRule="auto"/>
        <w:rPr>
          <w:rFonts w:ascii="Times New Roman" w:hAnsi="Times New Roman" w:cs="Times New Roman"/>
          <w:sz w:val="24"/>
          <w:szCs w:val="24"/>
        </w:rPr>
      </w:pPr>
      <w:r>
        <w:rPr>
          <w:rFonts w:ascii="Times New Roman" w:hAnsi="Times New Roman" w:cs="Times New Roman"/>
          <w:sz w:val="24"/>
          <w:szCs w:val="24"/>
        </w:rPr>
        <w:t>H</w:t>
      </w:r>
      <w:r w:rsidRPr="0025003E">
        <w:rPr>
          <w:rFonts w:ascii="Times New Roman" w:hAnsi="Times New Roman" w:cs="Times New Roman"/>
          <w:sz w:val="24"/>
          <w:szCs w:val="24"/>
        </w:rPr>
        <w:t xml:space="preserve">eld on a Saturday evening, </w:t>
      </w:r>
      <w:r>
        <w:rPr>
          <w:rFonts w:ascii="Times New Roman" w:hAnsi="Times New Roman" w:cs="Times New Roman"/>
          <w:sz w:val="24"/>
          <w:szCs w:val="24"/>
        </w:rPr>
        <w:t>the socials</w:t>
      </w:r>
      <w:r w:rsidRPr="0025003E">
        <w:rPr>
          <w:rFonts w:ascii="Times New Roman" w:hAnsi="Times New Roman" w:cs="Times New Roman"/>
          <w:sz w:val="24"/>
          <w:szCs w:val="24"/>
        </w:rPr>
        <w:t xml:space="preserve"> comprise</w:t>
      </w:r>
      <w:r>
        <w:rPr>
          <w:rFonts w:ascii="Times New Roman" w:hAnsi="Times New Roman" w:cs="Times New Roman"/>
          <w:sz w:val="24"/>
          <w:szCs w:val="24"/>
        </w:rPr>
        <w:t>d</w:t>
      </w:r>
      <w:r w:rsidRPr="0025003E">
        <w:rPr>
          <w:rFonts w:ascii="Times New Roman" w:hAnsi="Times New Roman" w:cs="Times New Roman"/>
          <w:sz w:val="24"/>
          <w:szCs w:val="24"/>
        </w:rPr>
        <w:t xml:space="preserve"> icebreakers, talent shows, and gameshows. These activities helped Fellows further hone their social skills in an online setting and express themselves beyond the confines of an academic setting. In the exit surveys conducted, most Fellows indicated that Socials were useful in helping them expand their new academic networks. An interesting follow-up would be to study how many of these academic networks are sustained once the training period has ended </w:t>
      </w:r>
      <w:r w:rsidRPr="0025003E">
        <w:rPr>
          <w:rFonts w:ascii="Times New Roman" w:hAnsi="Times New Roman" w:cs="Times New Roman"/>
          <w:sz w:val="24"/>
          <w:szCs w:val="24"/>
        </w:rPr>
        <w:fldChar w:fldCharType="begin" w:fldLock="1"/>
      </w:r>
      <w:r w:rsidRPr="0025003E">
        <w:rPr>
          <w:rFonts w:ascii="Times New Roman" w:hAnsi="Times New Roman" w:cs="Times New Roman"/>
          <w:sz w:val="24"/>
          <w:szCs w:val="24"/>
        </w:rPr>
        <w:instrText>ADDIN CSL_CITATION {"citationItems":[{"id":"ITEM-1","itemData":{"DOI":"10.1037/a0013350","ISSN":"00219010","PMID":"19186904","abstract":"Previous research has reported effects of networking, defined as building, maintaining, and using relationships, on career success. However, empirical studies have relied exclusively on concurrent or retrospective designs that rest upon strong assumptions about the causal direction of this relation and depict a static snapshot of the relation at a given point in time. This study provides a dynamic perspective on the effects of networking on career success and reports results of a longitudinal study. Networking was assessed with 6 subscales that resulted from combining measures of the facets of (a) internal versus external networking and (b) building versus maintaining versus using contacts. Objective (salary) and subjective (career satisfaction) measures of career success were obtained for 3 consecutive years. Multilevel analyses showed that networking is related to concurrent salary and that it is related to the growth rate of salary over time. Networking is also related to concurrent career satisfaction. As satisfaction remained stable over time, no effects of networking on the growth of career satisfaction were found. © 2009 American Psychological Association.","author":[{"dropping-particle":"","family":"Wolff","given":"Hans Georg","non-dropping-particle":"","parse-names":false,"suffix":""},{"dropping-particle":"","family":"Moser","given":"Klaus","non-dropping-particle":"","parse-names":false,"suffix":""}],"container-title":"Journal of Applied Psychology","id":"ITEM-1","issue":"1","issued":{"date-parts":[["2009"]]},"page":"196-206","title":"Effects of Networking on Career Success: A Longitudinal Study","type":"article-journal","volume":"94"},"uris":["http://www.mendeley.com/documents/?uuid=5a20ebc7-2346-4dec-806f-7f6609902a4c"]}],"mendeley":{"formattedCitation":"(Wolff and Moser 2009)","plainTextFormattedCitation":"(Wolff and Moser 2009)","previouslyFormattedCitation":"(Wolff and Moser 2009)"},"properties":{"noteIndex":0},"schema":"https://github.com/citation-style-language/schema/raw/master/csl-citation.json"}</w:instrText>
      </w:r>
      <w:r w:rsidRPr="0025003E">
        <w:rPr>
          <w:rFonts w:ascii="Times New Roman" w:hAnsi="Times New Roman" w:cs="Times New Roman"/>
          <w:sz w:val="24"/>
          <w:szCs w:val="24"/>
        </w:rPr>
        <w:fldChar w:fldCharType="separate"/>
      </w:r>
      <w:r w:rsidRPr="0025003E">
        <w:rPr>
          <w:rFonts w:ascii="Times New Roman" w:hAnsi="Times New Roman" w:cs="Times New Roman"/>
          <w:noProof/>
          <w:sz w:val="24"/>
          <w:szCs w:val="24"/>
        </w:rPr>
        <w:t>(Wolff and Moser 2009)</w:t>
      </w:r>
      <w:r w:rsidRPr="0025003E">
        <w:rPr>
          <w:rFonts w:ascii="Times New Roman" w:hAnsi="Times New Roman" w:cs="Times New Roman"/>
          <w:sz w:val="24"/>
          <w:szCs w:val="24"/>
        </w:rPr>
        <w:fldChar w:fldCharType="end"/>
      </w:r>
      <w:r w:rsidRPr="0025003E">
        <w:rPr>
          <w:rFonts w:ascii="Times New Roman" w:hAnsi="Times New Roman" w:cs="Times New Roman"/>
          <w:sz w:val="24"/>
          <w:szCs w:val="24"/>
        </w:rPr>
        <w:t>.</w:t>
      </w:r>
    </w:p>
    <w:p w14:paraId="5CD126A0" w14:textId="77777777" w:rsidR="00511512" w:rsidRPr="0025003E" w:rsidRDefault="00511512" w:rsidP="00511512">
      <w:pPr>
        <w:spacing w:line="276" w:lineRule="auto"/>
        <w:rPr>
          <w:rFonts w:ascii="Times New Roman" w:hAnsi="Times New Roman" w:cs="Times New Roman"/>
          <w:sz w:val="24"/>
          <w:szCs w:val="24"/>
        </w:rPr>
      </w:pPr>
      <w:r>
        <w:rPr>
          <w:rFonts w:ascii="Times New Roman" w:hAnsi="Times New Roman" w:cs="Times New Roman"/>
          <w:sz w:val="24"/>
          <w:szCs w:val="24"/>
        </w:rPr>
        <w:t>The following section focuses on how NFDP-2020 aimed for inclusivity through building competency in English using skill-building clinics.</w:t>
      </w:r>
    </w:p>
    <w:p w14:paraId="5EC3B1EC" w14:textId="77777777" w:rsidR="00511512" w:rsidRPr="0025003E" w:rsidRDefault="00511512" w:rsidP="00511512">
      <w:pPr>
        <w:pStyle w:val="Heading2"/>
        <w:numPr>
          <w:ilvl w:val="1"/>
          <w:numId w:val="2"/>
        </w:numPr>
        <w:tabs>
          <w:tab w:val="num" w:pos="360"/>
        </w:tabs>
        <w:rPr>
          <w:rFonts w:eastAsia="Calibri"/>
        </w:rPr>
      </w:pPr>
      <w:r>
        <w:t xml:space="preserve"> </w:t>
      </w:r>
      <w:r w:rsidRPr="00CE0D80">
        <w:t xml:space="preserve">Developing Global </w:t>
      </w:r>
      <w:r w:rsidRPr="00CE0D80">
        <w:rPr>
          <w:rFonts w:eastAsia="Calibri"/>
        </w:rPr>
        <w:t>Competencies: Inclusivity through Communication in English</w:t>
      </w:r>
      <w:r w:rsidRPr="0025003E">
        <w:rPr>
          <w:rFonts w:eastAsia="Calibri"/>
        </w:rPr>
        <w:t xml:space="preserve"> </w:t>
      </w:r>
    </w:p>
    <w:p w14:paraId="148D96DC" w14:textId="77777777" w:rsidR="00511512" w:rsidRPr="0025003E" w:rsidRDefault="00511512" w:rsidP="00511512">
      <w:pPr>
        <w:spacing w:line="276" w:lineRule="auto"/>
        <w:rPr>
          <w:rFonts w:ascii="Times New Roman" w:eastAsia="Candara" w:hAnsi="Times New Roman" w:cs="Times New Roman"/>
          <w:sz w:val="24"/>
          <w:szCs w:val="24"/>
        </w:rPr>
      </w:pPr>
      <w:r w:rsidRPr="0025003E">
        <w:rPr>
          <w:rFonts w:ascii="Times New Roman" w:eastAsia="Candara" w:hAnsi="Times New Roman" w:cs="Times New Roman"/>
          <w:sz w:val="24"/>
          <w:szCs w:val="24"/>
        </w:rPr>
        <w:t>This section discusses the role of skill</w:t>
      </w:r>
      <w:r>
        <w:rPr>
          <w:rFonts w:ascii="Times New Roman" w:eastAsia="Candara" w:hAnsi="Times New Roman" w:cs="Times New Roman"/>
          <w:sz w:val="24"/>
          <w:szCs w:val="24"/>
        </w:rPr>
        <w:t>-</w:t>
      </w:r>
      <w:r w:rsidRPr="0025003E">
        <w:rPr>
          <w:rFonts w:ascii="Times New Roman" w:eastAsia="Candara" w:hAnsi="Times New Roman" w:cs="Times New Roman"/>
          <w:sz w:val="24"/>
          <w:szCs w:val="24"/>
        </w:rPr>
        <w:t xml:space="preserve">building clinics in developing competencies in English for inclusivity through decolonizing of English for Academic Purpose (EAP) for social justice. The </w:t>
      </w:r>
      <w:r>
        <w:rPr>
          <w:rFonts w:ascii="Times New Roman" w:eastAsia="Candara" w:hAnsi="Times New Roman" w:cs="Times New Roman"/>
          <w:sz w:val="24"/>
          <w:szCs w:val="24"/>
        </w:rPr>
        <w:t>pre-assessment</w:t>
      </w:r>
      <w:r w:rsidRPr="0025003E">
        <w:rPr>
          <w:rFonts w:ascii="Times New Roman" w:eastAsia="Candara" w:hAnsi="Times New Roman" w:cs="Times New Roman"/>
          <w:sz w:val="24"/>
          <w:szCs w:val="24"/>
        </w:rPr>
        <w:t xml:space="preserve"> had revealed worrisome deficiencies in reading and writing in English</w:t>
      </w:r>
      <w:r>
        <w:rPr>
          <w:rFonts w:ascii="Times New Roman" w:eastAsia="Candara" w:hAnsi="Times New Roman" w:cs="Times New Roman"/>
          <w:sz w:val="24"/>
          <w:szCs w:val="24"/>
        </w:rPr>
        <w:t xml:space="preserve"> and F</w:t>
      </w:r>
      <w:r w:rsidRPr="0025003E">
        <w:rPr>
          <w:rFonts w:ascii="Times New Roman" w:eastAsia="Candara" w:hAnsi="Times New Roman" w:cs="Times New Roman"/>
          <w:sz w:val="24"/>
          <w:szCs w:val="24"/>
        </w:rPr>
        <w:t xml:space="preserve">ellows appeared to have little or no explicit awareness of research writing conventions and </w:t>
      </w:r>
      <w:r w:rsidRPr="0025003E">
        <w:rPr>
          <w:rFonts w:ascii="Times New Roman" w:eastAsia="Candara" w:hAnsi="Times New Roman" w:cs="Times New Roman"/>
          <w:sz w:val="24"/>
          <w:szCs w:val="24"/>
        </w:rPr>
        <w:lastRenderedPageBreak/>
        <w:t xml:space="preserve">academic style. Their tacit understanding of writing and publishing conventions was through copying and writing with supervisors but not any direct instruction in EAP.  </w:t>
      </w:r>
    </w:p>
    <w:p w14:paraId="16E12D86" w14:textId="77777777" w:rsidR="00511512" w:rsidRPr="0025003E" w:rsidRDefault="00511512" w:rsidP="00511512">
      <w:pPr>
        <w:spacing w:line="276" w:lineRule="auto"/>
        <w:rPr>
          <w:rFonts w:ascii="Times New Roman" w:eastAsia="Candara" w:hAnsi="Times New Roman" w:cs="Times New Roman"/>
          <w:sz w:val="24"/>
          <w:szCs w:val="24"/>
        </w:rPr>
      </w:pPr>
      <w:r w:rsidRPr="0025003E">
        <w:rPr>
          <w:rFonts w:ascii="Times New Roman" w:eastAsia="Candara" w:hAnsi="Times New Roman" w:cs="Times New Roman"/>
          <w:sz w:val="24"/>
          <w:szCs w:val="24"/>
        </w:rPr>
        <w:t xml:space="preserve">According to Keaton (2015), a focus on academic professionalism throughout a study term can “help students develop the skills, attitudes, and behaviors they need to chart successful courses as students and soon-to-be professionals”. </w:t>
      </w:r>
      <w:r>
        <w:rPr>
          <w:rFonts w:ascii="Times New Roman" w:eastAsia="Candara" w:hAnsi="Times New Roman" w:cs="Times New Roman"/>
          <w:sz w:val="24"/>
          <w:szCs w:val="24"/>
        </w:rPr>
        <w:t>Taking a</w:t>
      </w:r>
      <w:r w:rsidRPr="0025003E">
        <w:rPr>
          <w:rFonts w:ascii="Times New Roman" w:eastAsia="Candara" w:hAnsi="Times New Roman" w:cs="Times New Roman"/>
          <w:sz w:val="24"/>
          <w:szCs w:val="24"/>
        </w:rPr>
        <w:t xml:space="preserve"> </w:t>
      </w:r>
      <w:r w:rsidRPr="0025003E">
        <w:rPr>
          <w:rFonts w:ascii="Times New Roman" w:eastAsia="Candara" w:hAnsi="Times New Roman" w:cs="Times New Roman"/>
          <w:i/>
          <w:iCs/>
          <w:sz w:val="24"/>
          <w:szCs w:val="24"/>
        </w:rPr>
        <w:t>Critical EAP</w:t>
      </w:r>
      <w:r w:rsidRPr="0025003E">
        <w:rPr>
          <w:rFonts w:ascii="Times New Roman" w:eastAsia="Candara" w:hAnsi="Times New Roman" w:cs="Times New Roman"/>
          <w:sz w:val="24"/>
          <w:szCs w:val="24"/>
        </w:rPr>
        <w:t xml:space="preserve"> and </w:t>
      </w:r>
      <w:r w:rsidRPr="0025003E">
        <w:rPr>
          <w:rFonts w:ascii="Times New Roman" w:eastAsia="Candara" w:hAnsi="Times New Roman" w:cs="Times New Roman"/>
          <w:i/>
          <w:iCs/>
          <w:sz w:val="24"/>
          <w:szCs w:val="24"/>
        </w:rPr>
        <w:t>academic literacies (</w:t>
      </w:r>
      <w:proofErr w:type="spellStart"/>
      <w:r w:rsidRPr="0025003E">
        <w:rPr>
          <w:rFonts w:ascii="Times New Roman" w:eastAsia="Candara" w:hAnsi="Times New Roman" w:cs="Times New Roman"/>
          <w:i/>
          <w:iCs/>
          <w:sz w:val="24"/>
          <w:szCs w:val="24"/>
        </w:rPr>
        <w:t>AcLits</w:t>
      </w:r>
      <w:proofErr w:type="spellEnd"/>
      <w:r w:rsidRPr="0025003E">
        <w:rPr>
          <w:rFonts w:ascii="Times New Roman" w:eastAsia="Candara" w:hAnsi="Times New Roman" w:cs="Times New Roman"/>
          <w:i/>
          <w:iCs/>
          <w:sz w:val="24"/>
          <w:szCs w:val="24"/>
        </w:rPr>
        <w:t>)</w:t>
      </w:r>
      <w:r w:rsidRPr="0025003E">
        <w:rPr>
          <w:rFonts w:ascii="Times New Roman" w:eastAsia="Candara" w:hAnsi="Times New Roman" w:cs="Times New Roman"/>
          <w:sz w:val="24"/>
          <w:szCs w:val="24"/>
        </w:rPr>
        <w:t xml:space="preserve"> approach that sees literacy development as part of social practice allowed us to engage </w:t>
      </w:r>
      <w:r>
        <w:rPr>
          <w:rFonts w:ascii="Times New Roman" w:eastAsia="Candara" w:hAnsi="Times New Roman" w:cs="Times New Roman"/>
          <w:sz w:val="24"/>
          <w:szCs w:val="24"/>
        </w:rPr>
        <w:t>Fellows’</w:t>
      </w:r>
      <w:r w:rsidRPr="0025003E">
        <w:rPr>
          <w:rFonts w:ascii="Times New Roman" w:eastAsia="Candara" w:hAnsi="Times New Roman" w:cs="Times New Roman"/>
          <w:sz w:val="24"/>
          <w:szCs w:val="24"/>
        </w:rPr>
        <w:t xml:space="preserve"> diverse cultural backgrounds and identities to engender academic professionalism. To emphasize the all-pervasive presence of English language competencies and for greater affective engagement training and socialization with EAP</w:t>
      </w:r>
      <w:r>
        <w:rPr>
          <w:rFonts w:ascii="Times New Roman" w:eastAsia="Candara" w:hAnsi="Times New Roman" w:cs="Times New Roman"/>
          <w:sz w:val="24"/>
          <w:szCs w:val="24"/>
        </w:rPr>
        <w:t>, it</w:t>
      </w:r>
      <w:r w:rsidRPr="0025003E">
        <w:rPr>
          <w:rFonts w:ascii="Times New Roman" w:eastAsia="Candara" w:hAnsi="Times New Roman" w:cs="Times New Roman"/>
          <w:sz w:val="24"/>
          <w:szCs w:val="24"/>
        </w:rPr>
        <w:t xml:space="preserve"> was embedded within the various modules of the program.</w:t>
      </w:r>
    </w:p>
    <w:p w14:paraId="579C189D" w14:textId="77777777" w:rsidR="00511512" w:rsidRDefault="00511512" w:rsidP="00511512">
      <w:pPr>
        <w:spacing w:line="276" w:lineRule="auto"/>
        <w:rPr>
          <w:rFonts w:ascii="Times New Roman" w:eastAsia="Candara" w:hAnsi="Times New Roman" w:cs="Times New Roman"/>
          <w:sz w:val="24"/>
          <w:szCs w:val="24"/>
        </w:rPr>
      </w:pPr>
      <w:r>
        <w:rPr>
          <w:rFonts w:ascii="Times New Roman" w:eastAsia="Candara" w:hAnsi="Times New Roman" w:cs="Times New Roman"/>
          <w:sz w:val="24"/>
          <w:szCs w:val="24"/>
        </w:rPr>
        <w:t>F</w:t>
      </w:r>
      <w:r w:rsidRPr="0025003E">
        <w:rPr>
          <w:rFonts w:ascii="Times New Roman" w:eastAsia="Candara" w:hAnsi="Times New Roman" w:cs="Times New Roman"/>
          <w:sz w:val="24"/>
          <w:szCs w:val="24"/>
        </w:rPr>
        <w:t>ellows also learnt the epistemological codes of practice and the ‘semantic waves’ of meaning</w:t>
      </w:r>
      <w:r>
        <w:rPr>
          <w:rFonts w:ascii="Times New Roman" w:eastAsia="Candara" w:hAnsi="Times New Roman" w:cs="Times New Roman"/>
          <w:sz w:val="24"/>
          <w:szCs w:val="24"/>
        </w:rPr>
        <w:t>-</w:t>
      </w:r>
      <w:r w:rsidRPr="0025003E">
        <w:rPr>
          <w:rFonts w:ascii="Times New Roman" w:eastAsia="Candara" w:hAnsi="Times New Roman" w:cs="Times New Roman"/>
          <w:sz w:val="24"/>
          <w:szCs w:val="24"/>
        </w:rPr>
        <w:t>making in their disciplines by being completely immersed in their disciplines while undertaking their doctoral research, without having conscious and explicit knowledge of how knowledge is created through writing in their discipline (Coffin &amp; Donhue,2014). Most second language learners</w:t>
      </w:r>
      <w:r>
        <w:rPr>
          <w:rFonts w:ascii="Times New Roman" w:eastAsia="Candara" w:hAnsi="Times New Roman" w:cs="Times New Roman"/>
          <w:sz w:val="24"/>
          <w:szCs w:val="24"/>
        </w:rPr>
        <w:t>,</w:t>
      </w:r>
      <w:r w:rsidRPr="0025003E">
        <w:rPr>
          <w:rFonts w:ascii="Times New Roman" w:eastAsia="Candara" w:hAnsi="Times New Roman" w:cs="Times New Roman"/>
          <w:sz w:val="24"/>
          <w:szCs w:val="24"/>
        </w:rPr>
        <w:t xml:space="preserve"> because of this lack of explicit knowledge of structures</w:t>
      </w:r>
      <w:r>
        <w:rPr>
          <w:rFonts w:ascii="Times New Roman" w:eastAsia="Candara" w:hAnsi="Times New Roman" w:cs="Times New Roman"/>
          <w:sz w:val="24"/>
          <w:szCs w:val="24"/>
        </w:rPr>
        <w:t>,</w:t>
      </w:r>
      <w:r w:rsidRPr="0025003E">
        <w:rPr>
          <w:rFonts w:ascii="Times New Roman" w:eastAsia="Candara" w:hAnsi="Times New Roman" w:cs="Times New Roman"/>
          <w:sz w:val="24"/>
          <w:szCs w:val="24"/>
        </w:rPr>
        <w:t xml:space="preserve"> exhibit the tendency to copy rather than paraphrase that creates plagiarism issues. </w:t>
      </w:r>
    </w:p>
    <w:p w14:paraId="1A691BF3" w14:textId="77777777" w:rsidR="00511512" w:rsidRPr="0025003E" w:rsidRDefault="00511512" w:rsidP="00511512">
      <w:pPr>
        <w:spacing w:line="276" w:lineRule="auto"/>
        <w:rPr>
          <w:rFonts w:ascii="Times New Roman" w:eastAsia="Candara" w:hAnsi="Times New Roman" w:cs="Times New Roman"/>
          <w:sz w:val="24"/>
          <w:szCs w:val="24"/>
        </w:rPr>
      </w:pPr>
      <w:r w:rsidRPr="0025003E">
        <w:rPr>
          <w:rFonts w:ascii="Times New Roman" w:eastAsia="Candara" w:hAnsi="Times New Roman" w:cs="Times New Roman"/>
          <w:sz w:val="24"/>
          <w:szCs w:val="24"/>
        </w:rPr>
        <w:t>In engendering disciplinary awareness, the ‘academic sociali</w:t>
      </w:r>
      <w:r>
        <w:rPr>
          <w:rFonts w:ascii="Times New Roman" w:eastAsia="Candara" w:hAnsi="Times New Roman" w:cs="Times New Roman"/>
          <w:sz w:val="24"/>
          <w:szCs w:val="24"/>
        </w:rPr>
        <w:t>z</w:t>
      </w:r>
      <w:r w:rsidRPr="0025003E">
        <w:rPr>
          <w:rFonts w:ascii="Times New Roman" w:eastAsia="Candara" w:hAnsi="Times New Roman" w:cs="Times New Roman"/>
          <w:sz w:val="24"/>
          <w:szCs w:val="24"/>
        </w:rPr>
        <w:t xml:space="preserve">ation’ model is the most prevalent in </w:t>
      </w:r>
      <w:r>
        <w:rPr>
          <w:rFonts w:ascii="Times New Roman" w:eastAsia="Candara" w:hAnsi="Times New Roman" w:cs="Times New Roman"/>
          <w:sz w:val="24"/>
          <w:szCs w:val="24"/>
        </w:rPr>
        <w:t>higher education institutions (</w:t>
      </w:r>
      <w:r w:rsidRPr="0025003E">
        <w:rPr>
          <w:rFonts w:ascii="Times New Roman" w:eastAsia="Candara" w:hAnsi="Times New Roman" w:cs="Times New Roman"/>
          <w:sz w:val="24"/>
          <w:szCs w:val="24"/>
        </w:rPr>
        <w:t>HEIs</w:t>
      </w:r>
      <w:r>
        <w:rPr>
          <w:rFonts w:ascii="Times New Roman" w:eastAsia="Candara" w:hAnsi="Times New Roman" w:cs="Times New Roman"/>
          <w:sz w:val="24"/>
          <w:szCs w:val="24"/>
        </w:rPr>
        <w:t>)</w:t>
      </w:r>
      <w:r w:rsidRPr="0025003E">
        <w:rPr>
          <w:rFonts w:ascii="Times New Roman" w:eastAsia="Candara" w:hAnsi="Times New Roman" w:cs="Times New Roman"/>
          <w:sz w:val="24"/>
          <w:szCs w:val="24"/>
        </w:rPr>
        <w:t>. Implicit learning in academic sociali</w:t>
      </w:r>
      <w:r>
        <w:rPr>
          <w:rFonts w:ascii="Times New Roman" w:eastAsia="Candara" w:hAnsi="Times New Roman" w:cs="Times New Roman"/>
          <w:sz w:val="24"/>
          <w:szCs w:val="24"/>
        </w:rPr>
        <w:t>z</w:t>
      </w:r>
      <w:r w:rsidRPr="0025003E">
        <w:rPr>
          <w:rFonts w:ascii="Times New Roman" w:eastAsia="Candara" w:hAnsi="Times New Roman" w:cs="Times New Roman"/>
          <w:sz w:val="24"/>
          <w:szCs w:val="24"/>
        </w:rPr>
        <w:t xml:space="preserve">ation </w:t>
      </w:r>
      <w:r>
        <w:rPr>
          <w:rFonts w:ascii="Times New Roman" w:eastAsia="Candara" w:hAnsi="Times New Roman" w:cs="Times New Roman"/>
          <w:sz w:val="24"/>
          <w:szCs w:val="24"/>
        </w:rPr>
        <w:t>“</w:t>
      </w:r>
      <w:r w:rsidRPr="0025003E">
        <w:rPr>
          <w:rFonts w:ascii="Times New Roman" w:eastAsia="Candara" w:hAnsi="Times New Roman" w:cs="Times New Roman"/>
          <w:sz w:val="24"/>
          <w:szCs w:val="24"/>
        </w:rPr>
        <w:t>functions as the institutional default model: students will ‘pick up’ writing as a part of their studies without any specific teaching or practice</w:t>
      </w:r>
      <w:r>
        <w:rPr>
          <w:rFonts w:ascii="Times New Roman" w:eastAsia="Candara" w:hAnsi="Times New Roman" w:cs="Times New Roman"/>
          <w:sz w:val="24"/>
          <w:szCs w:val="24"/>
        </w:rPr>
        <w:t>”</w:t>
      </w:r>
      <w:r w:rsidRPr="0025003E">
        <w:rPr>
          <w:rFonts w:ascii="Times New Roman" w:eastAsia="Candara" w:hAnsi="Times New Roman" w:cs="Times New Roman"/>
          <w:sz w:val="24"/>
          <w:szCs w:val="24"/>
        </w:rPr>
        <w:t xml:space="preserve"> (Lillis, 2006: 32).  Prolonged exposure to the academic literacy practices of a discipline helps students to learn to write ‘with time’.</w:t>
      </w:r>
      <w:r w:rsidRPr="0025003E">
        <w:rPr>
          <w:rFonts w:ascii="Times New Roman" w:eastAsia="Candara" w:hAnsi="Times New Roman" w:cs="Times New Roman"/>
          <w:color w:val="FF0000"/>
          <w:sz w:val="24"/>
          <w:szCs w:val="24"/>
        </w:rPr>
        <w:t xml:space="preserve"> </w:t>
      </w:r>
      <w:r w:rsidRPr="0025003E">
        <w:rPr>
          <w:rFonts w:ascii="Times New Roman" w:eastAsia="Candara" w:hAnsi="Times New Roman" w:cs="Times New Roman"/>
          <w:sz w:val="24"/>
          <w:szCs w:val="24"/>
        </w:rPr>
        <w:t>On the other hand, in the explicit more direct approach</w:t>
      </w:r>
      <w:r>
        <w:rPr>
          <w:rFonts w:ascii="Times New Roman" w:eastAsia="Candara" w:hAnsi="Times New Roman" w:cs="Times New Roman"/>
          <w:sz w:val="24"/>
          <w:szCs w:val="24"/>
        </w:rPr>
        <w:t>,</w:t>
      </w:r>
      <w:r w:rsidRPr="0025003E">
        <w:rPr>
          <w:rFonts w:ascii="Times New Roman" w:eastAsia="Candara" w:hAnsi="Times New Roman" w:cs="Times New Roman"/>
          <w:sz w:val="24"/>
          <w:szCs w:val="24"/>
        </w:rPr>
        <w:t xml:space="preserve"> students are taught features of specific academic genres ‘specific clusters of linguistics features’ are taught (Lillis,</w:t>
      </w:r>
      <w:r>
        <w:rPr>
          <w:rFonts w:ascii="Times New Roman" w:eastAsia="Candara" w:hAnsi="Times New Roman" w:cs="Times New Roman"/>
          <w:sz w:val="24"/>
          <w:szCs w:val="24"/>
        </w:rPr>
        <w:t xml:space="preserve"> </w:t>
      </w:r>
      <w:r w:rsidRPr="0025003E">
        <w:rPr>
          <w:rFonts w:ascii="Times New Roman" w:eastAsia="Candara" w:hAnsi="Times New Roman" w:cs="Times New Roman"/>
          <w:sz w:val="24"/>
          <w:szCs w:val="24"/>
        </w:rPr>
        <w:t>2006:</w:t>
      </w:r>
      <w:r>
        <w:rPr>
          <w:rFonts w:ascii="Times New Roman" w:eastAsia="Candara" w:hAnsi="Times New Roman" w:cs="Times New Roman"/>
          <w:sz w:val="24"/>
          <w:szCs w:val="24"/>
        </w:rPr>
        <w:t xml:space="preserve"> </w:t>
      </w:r>
      <w:r w:rsidRPr="0025003E">
        <w:rPr>
          <w:rFonts w:ascii="Times New Roman" w:eastAsia="Candara" w:hAnsi="Times New Roman" w:cs="Times New Roman"/>
          <w:sz w:val="24"/>
          <w:szCs w:val="24"/>
        </w:rPr>
        <w:t>31). According to Lea and Street, there are ‘deep language, literacy and discourse issues involved in the institutional production and representation of meaning’ (1998: 159) which may confuse students leaving them to discover for themselves the variation and diversity that exists in how knowledge and meaning is constructed through writing. The NFDP</w:t>
      </w:r>
      <w:r>
        <w:rPr>
          <w:rFonts w:ascii="Times New Roman" w:eastAsia="Candara" w:hAnsi="Times New Roman" w:cs="Times New Roman"/>
          <w:sz w:val="24"/>
          <w:szCs w:val="24"/>
        </w:rPr>
        <w:t>-2020</w:t>
      </w:r>
      <w:r w:rsidRPr="0025003E">
        <w:rPr>
          <w:rFonts w:ascii="Times New Roman" w:eastAsia="Candara" w:hAnsi="Times New Roman" w:cs="Times New Roman"/>
          <w:sz w:val="24"/>
          <w:szCs w:val="24"/>
        </w:rPr>
        <w:t xml:space="preserve"> skill building clinics laid the foundations for this awareness. </w:t>
      </w:r>
    </w:p>
    <w:p w14:paraId="4D61F5BE" w14:textId="77777777" w:rsidR="00511512" w:rsidRDefault="00511512" w:rsidP="00511512">
      <w:pPr>
        <w:spacing w:line="276" w:lineRule="auto"/>
        <w:rPr>
          <w:rFonts w:ascii="Times New Roman" w:eastAsia="Candara" w:hAnsi="Times New Roman" w:cs="Times New Roman"/>
          <w:sz w:val="24"/>
          <w:szCs w:val="24"/>
        </w:rPr>
      </w:pPr>
      <w:r w:rsidRPr="0025003E">
        <w:rPr>
          <w:rFonts w:ascii="Times New Roman" w:eastAsia="Candara" w:hAnsi="Times New Roman" w:cs="Times New Roman"/>
          <w:sz w:val="24"/>
          <w:szCs w:val="24"/>
        </w:rPr>
        <w:t xml:space="preserve">An essential re-training in academic skills in English was attempted. We tried to blend the best of EAP with academic literacies (Tribble &amp; Wingate, 2012) for </w:t>
      </w:r>
      <w:r w:rsidRPr="00394EEE">
        <w:rPr>
          <w:rFonts w:ascii="Times New Roman" w:eastAsia="Candara" w:hAnsi="Times New Roman" w:cs="Times New Roman"/>
          <w:sz w:val="24"/>
          <w:szCs w:val="24"/>
        </w:rPr>
        <w:t>socialization</w:t>
      </w:r>
      <w:r w:rsidRPr="0025003E">
        <w:rPr>
          <w:rFonts w:ascii="Times New Roman" w:eastAsia="Candara" w:hAnsi="Times New Roman" w:cs="Times New Roman"/>
          <w:sz w:val="24"/>
          <w:szCs w:val="24"/>
        </w:rPr>
        <w:t xml:space="preserve"> with the professional practice skills of expressing themselves in speech in </w:t>
      </w:r>
      <w:r>
        <w:rPr>
          <w:rFonts w:ascii="Times New Roman" w:eastAsia="Candara" w:hAnsi="Times New Roman" w:cs="Times New Roman"/>
          <w:sz w:val="24"/>
          <w:szCs w:val="24"/>
        </w:rPr>
        <w:t>m</w:t>
      </w:r>
      <w:r w:rsidRPr="0025003E">
        <w:rPr>
          <w:rFonts w:ascii="Times New Roman" w:eastAsia="Candara" w:hAnsi="Times New Roman" w:cs="Times New Roman"/>
          <w:sz w:val="24"/>
          <w:szCs w:val="24"/>
        </w:rPr>
        <w:t>icro</w:t>
      </w:r>
      <w:r>
        <w:rPr>
          <w:rFonts w:ascii="Times New Roman" w:eastAsia="Candara" w:hAnsi="Times New Roman" w:cs="Times New Roman"/>
          <w:sz w:val="24"/>
          <w:szCs w:val="24"/>
        </w:rPr>
        <w:t>-</w:t>
      </w:r>
      <w:r w:rsidRPr="0025003E">
        <w:rPr>
          <w:rFonts w:ascii="Times New Roman" w:eastAsia="Candara" w:hAnsi="Times New Roman" w:cs="Times New Roman"/>
          <w:sz w:val="24"/>
          <w:szCs w:val="24"/>
        </w:rPr>
        <w:t xml:space="preserve">teaching, Pecha Kucha, </w:t>
      </w:r>
      <w:r>
        <w:rPr>
          <w:rFonts w:ascii="Times New Roman" w:eastAsia="Candara" w:hAnsi="Times New Roman" w:cs="Times New Roman"/>
          <w:sz w:val="24"/>
          <w:szCs w:val="24"/>
        </w:rPr>
        <w:t>the three-minute thesis (</w:t>
      </w:r>
      <w:r w:rsidRPr="0025003E">
        <w:rPr>
          <w:rFonts w:ascii="Times New Roman" w:eastAsia="Candara" w:hAnsi="Times New Roman" w:cs="Times New Roman"/>
          <w:sz w:val="24"/>
          <w:szCs w:val="24"/>
        </w:rPr>
        <w:t>3MT</w:t>
      </w:r>
      <w:r>
        <w:rPr>
          <w:rFonts w:ascii="Times New Roman" w:eastAsia="Candara" w:hAnsi="Times New Roman" w:cs="Times New Roman"/>
          <w:sz w:val="24"/>
          <w:szCs w:val="24"/>
        </w:rPr>
        <w:t>)</w:t>
      </w:r>
      <w:r w:rsidRPr="0025003E">
        <w:rPr>
          <w:rFonts w:ascii="Times New Roman" w:eastAsia="Candara" w:hAnsi="Times New Roman" w:cs="Times New Roman"/>
          <w:sz w:val="24"/>
          <w:szCs w:val="24"/>
        </w:rPr>
        <w:t xml:space="preserve"> concept and in class and group participation during group work and in office hours. </w:t>
      </w:r>
      <w:r>
        <w:rPr>
          <w:rFonts w:ascii="Times New Roman" w:eastAsia="Candara" w:hAnsi="Times New Roman" w:cs="Times New Roman"/>
          <w:sz w:val="24"/>
          <w:szCs w:val="24"/>
        </w:rPr>
        <w:t>O</w:t>
      </w:r>
      <w:r w:rsidRPr="0025003E">
        <w:rPr>
          <w:rFonts w:ascii="Times New Roman" w:eastAsia="Candara" w:hAnsi="Times New Roman" w:cs="Times New Roman"/>
          <w:sz w:val="24"/>
          <w:szCs w:val="24"/>
        </w:rPr>
        <w:t xml:space="preserve">nline interaction tools </w:t>
      </w:r>
      <w:r>
        <w:rPr>
          <w:rFonts w:ascii="Times New Roman" w:eastAsia="Candara" w:hAnsi="Times New Roman" w:cs="Times New Roman"/>
          <w:sz w:val="24"/>
          <w:szCs w:val="24"/>
        </w:rPr>
        <w:t xml:space="preserve">and </w:t>
      </w:r>
      <w:r w:rsidRPr="0025003E">
        <w:rPr>
          <w:rFonts w:ascii="Times New Roman" w:eastAsia="Candara" w:hAnsi="Times New Roman" w:cs="Times New Roman"/>
          <w:sz w:val="24"/>
          <w:szCs w:val="24"/>
        </w:rPr>
        <w:t xml:space="preserve">synchronous team meetings played a positive role in developing confidence in use of appropriate language. </w:t>
      </w:r>
    </w:p>
    <w:p w14:paraId="421D6A44" w14:textId="77777777" w:rsidR="00511512" w:rsidRPr="0025003E" w:rsidRDefault="00511512" w:rsidP="00511512">
      <w:pPr>
        <w:spacing w:line="276" w:lineRule="auto"/>
        <w:rPr>
          <w:rFonts w:ascii="Times New Roman" w:eastAsia="Candara" w:hAnsi="Times New Roman" w:cs="Times New Roman"/>
          <w:sz w:val="24"/>
          <w:szCs w:val="24"/>
        </w:rPr>
      </w:pPr>
      <w:r w:rsidRPr="0025003E">
        <w:rPr>
          <w:rFonts w:ascii="Times New Roman" w:eastAsia="Candara" w:hAnsi="Times New Roman" w:cs="Times New Roman"/>
          <w:sz w:val="24"/>
          <w:szCs w:val="24"/>
        </w:rPr>
        <w:t>Working on the principle of Krashen's Input Hypothesis</w:t>
      </w:r>
      <w:r>
        <w:rPr>
          <w:rFonts w:ascii="Times New Roman" w:eastAsia="Candara" w:hAnsi="Times New Roman" w:cs="Times New Roman"/>
          <w:sz w:val="24"/>
          <w:szCs w:val="24"/>
        </w:rPr>
        <w:t xml:space="preserve"> in second language acquisition – </w:t>
      </w:r>
      <w:r w:rsidRPr="0025003E">
        <w:rPr>
          <w:rFonts w:ascii="Times New Roman" w:eastAsia="Candara" w:hAnsi="Times New Roman" w:cs="Times New Roman"/>
          <w:sz w:val="24"/>
          <w:szCs w:val="24"/>
        </w:rPr>
        <w:t xml:space="preserve">Comprehensible </w:t>
      </w:r>
      <w:r>
        <w:rPr>
          <w:rFonts w:ascii="Times New Roman" w:eastAsia="Candara" w:hAnsi="Times New Roman" w:cs="Times New Roman"/>
          <w:sz w:val="24"/>
          <w:szCs w:val="24"/>
        </w:rPr>
        <w:t>I</w:t>
      </w:r>
      <w:r w:rsidRPr="0025003E">
        <w:rPr>
          <w:rFonts w:ascii="Times New Roman" w:eastAsia="Candara" w:hAnsi="Times New Roman" w:cs="Times New Roman"/>
          <w:sz w:val="24"/>
          <w:szCs w:val="24"/>
        </w:rPr>
        <w:t xml:space="preserve">nput </w:t>
      </w:r>
      <w:r>
        <w:rPr>
          <w:rFonts w:ascii="Times New Roman" w:eastAsia="Candara" w:hAnsi="Times New Roman" w:cs="Times New Roman"/>
          <w:sz w:val="24"/>
          <w:szCs w:val="24"/>
        </w:rPr>
        <w:t>i</w:t>
      </w:r>
      <w:r w:rsidRPr="0025003E">
        <w:rPr>
          <w:rFonts w:ascii="Times New Roman" w:eastAsia="Candara" w:hAnsi="Times New Roman" w:cs="Times New Roman"/>
          <w:sz w:val="24"/>
          <w:szCs w:val="24"/>
        </w:rPr>
        <w:t>+1</w:t>
      </w:r>
      <w:r>
        <w:rPr>
          <w:rStyle w:val="EndnoteReference"/>
          <w:rFonts w:ascii="Times New Roman" w:eastAsia="Candara" w:hAnsi="Times New Roman" w:cs="Times New Roman"/>
          <w:sz w:val="24"/>
          <w:szCs w:val="24"/>
        </w:rPr>
        <w:endnoteReference w:id="4"/>
      </w:r>
      <w:r>
        <w:rPr>
          <w:rFonts w:ascii="Times New Roman" w:eastAsia="Candara" w:hAnsi="Times New Roman" w:cs="Times New Roman"/>
          <w:sz w:val="24"/>
          <w:szCs w:val="24"/>
        </w:rPr>
        <w:t xml:space="preserve"> –</w:t>
      </w:r>
      <w:r w:rsidRPr="0025003E">
        <w:rPr>
          <w:rFonts w:ascii="Times New Roman" w:eastAsia="Candara" w:hAnsi="Times New Roman" w:cs="Times New Roman"/>
          <w:sz w:val="24"/>
          <w:szCs w:val="24"/>
        </w:rPr>
        <w:t xml:space="preserve"> students</w:t>
      </w:r>
      <w:r>
        <w:rPr>
          <w:rFonts w:ascii="Times New Roman" w:eastAsia="Candara" w:hAnsi="Times New Roman" w:cs="Times New Roman"/>
          <w:sz w:val="24"/>
          <w:szCs w:val="24"/>
        </w:rPr>
        <w:t>’</w:t>
      </w:r>
      <w:r w:rsidRPr="0025003E">
        <w:rPr>
          <w:rFonts w:ascii="Times New Roman" w:eastAsia="Candara" w:hAnsi="Times New Roman" w:cs="Times New Roman"/>
          <w:sz w:val="24"/>
          <w:szCs w:val="24"/>
        </w:rPr>
        <w:t xml:space="preserve"> exposure to formal academic English in lectures and meetings was not made easy in any way for their consumption. This exposure to authentic language and feedback saw a significant improvement in all the </w:t>
      </w:r>
      <w:r>
        <w:rPr>
          <w:rFonts w:ascii="Times New Roman" w:eastAsia="Candara" w:hAnsi="Times New Roman" w:cs="Times New Roman"/>
          <w:sz w:val="24"/>
          <w:szCs w:val="24"/>
        </w:rPr>
        <w:t>four</w:t>
      </w:r>
      <w:r w:rsidRPr="0025003E">
        <w:rPr>
          <w:rFonts w:ascii="Times New Roman" w:eastAsia="Candara" w:hAnsi="Times New Roman" w:cs="Times New Roman"/>
          <w:sz w:val="24"/>
          <w:szCs w:val="24"/>
        </w:rPr>
        <w:t xml:space="preserve"> skills. One way of ensuring class participation was to give extensive writing practice on a given topic and reacting and </w:t>
      </w:r>
      <w:r w:rsidRPr="0025003E">
        <w:rPr>
          <w:rFonts w:ascii="Times New Roman" w:eastAsia="Candara" w:hAnsi="Times New Roman" w:cs="Times New Roman"/>
          <w:sz w:val="24"/>
          <w:szCs w:val="24"/>
        </w:rPr>
        <w:lastRenderedPageBreak/>
        <w:t>responding to other fellows. Fellows received detailed feedback on their work; perhaps they had never received such focused instruction on features of academic writing</w:t>
      </w:r>
      <w:r>
        <w:rPr>
          <w:rFonts w:ascii="Times New Roman" w:eastAsia="Candara" w:hAnsi="Times New Roman" w:cs="Times New Roman"/>
          <w:sz w:val="24"/>
          <w:szCs w:val="24"/>
        </w:rPr>
        <w:t>,</w:t>
      </w:r>
      <w:r w:rsidRPr="0025003E">
        <w:rPr>
          <w:rFonts w:ascii="Times New Roman" w:eastAsia="Candara" w:hAnsi="Times New Roman" w:cs="Times New Roman"/>
          <w:sz w:val="24"/>
          <w:szCs w:val="24"/>
        </w:rPr>
        <w:t xml:space="preserve"> particularly the emphasis on arguments and problem statements</w:t>
      </w:r>
      <w:r>
        <w:rPr>
          <w:rFonts w:ascii="Times New Roman" w:eastAsia="Candara" w:hAnsi="Times New Roman" w:cs="Times New Roman"/>
          <w:sz w:val="24"/>
          <w:szCs w:val="24"/>
        </w:rPr>
        <w:t>. T</w:t>
      </w:r>
      <w:r w:rsidRPr="0025003E">
        <w:rPr>
          <w:rFonts w:ascii="Times New Roman" w:eastAsia="Candara" w:hAnsi="Times New Roman" w:cs="Times New Roman"/>
          <w:sz w:val="24"/>
          <w:szCs w:val="24"/>
        </w:rPr>
        <w:t>hey were not used to fine grained analysis of their writing by teachers or the emphasis on the identifying the gap and occupying the niche in research writing.</w:t>
      </w:r>
    </w:p>
    <w:p w14:paraId="7D829049" w14:textId="77777777" w:rsidR="00511512" w:rsidRPr="0025003E" w:rsidRDefault="00511512" w:rsidP="00511512">
      <w:pPr>
        <w:spacing w:line="276" w:lineRule="auto"/>
        <w:rPr>
          <w:rFonts w:ascii="Times New Roman" w:eastAsia="Candara" w:hAnsi="Times New Roman" w:cs="Times New Roman"/>
          <w:sz w:val="24"/>
          <w:szCs w:val="24"/>
        </w:rPr>
      </w:pPr>
      <w:r w:rsidRPr="0025003E">
        <w:rPr>
          <w:rFonts w:ascii="Times New Roman" w:eastAsia="Candara" w:hAnsi="Times New Roman" w:cs="Times New Roman"/>
          <w:sz w:val="24"/>
          <w:szCs w:val="24"/>
        </w:rPr>
        <w:t xml:space="preserve">The module on scholarly writing focused </w:t>
      </w:r>
      <w:r>
        <w:rPr>
          <w:rFonts w:ascii="Times New Roman" w:eastAsia="Candara" w:hAnsi="Times New Roman" w:cs="Times New Roman"/>
          <w:sz w:val="24"/>
          <w:szCs w:val="24"/>
        </w:rPr>
        <w:t xml:space="preserve">on </w:t>
      </w:r>
      <w:r w:rsidRPr="0025003E">
        <w:rPr>
          <w:rFonts w:ascii="Times New Roman" w:eastAsia="Candara" w:hAnsi="Times New Roman" w:cs="Times New Roman"/>
          <w:sz w:val="24"/>
          <w:szCs w:val="24"/>
        </w:rPr>
        <w:t>writing a journal article and publishing in a journal in their field. An analysis of why papers get rejected was undertaken, certain prevalent myths about publishing</w:t>
      </w:r>
      <w:r>
        <w:rPr>
          <w:rFonts w:ascii="Times New Roman" w:eastAsia="Candara" w:hAnsi="Times New Roman" w:cs="Times New Roman"/>
          <w:sz w:val="24"/>
          <w:szCs w:val="24"/>
        </w:rPr>
        <w:t xml:space="preserve"> </w:t>
      </w:r>
      <w:r w:rsidRPr="0025003E">
        <w:rPr>
          <w:rFonts w:ascii="Times New Roman" w:eastAsia="Candara" w:hAnsi="Times New Roman" w:cs="Times New Roman"/>
          <w:b/>
          <w:bCs/>
          <w:sz w:val="24"/>
          <w:szCs w:val="24"/>
        </w:rPr>
        <w:t xml:space="preserve">– </w:t>
      </w:r>
      <w:r w:rsidRPr="0025003E">
        <w:rPr>
          <w:rFonts w:ascii="Times New Roman" w:eastAsia="Candara" w:hAnsi="Times New Roman" w:cs="Times New Roman"/>
          <w:sz w:val="24"/>
          <w:szCs w:val="24"/>
        </w:rPr>
        <w:t>that the paper must be entirely original or ground breaking</w:t>
      </w:r>
      <w:r>
        <w:rPr>
          <w:rFonts w:ascii="Times New Roman" w:eastAsia="Candara" w:hAnsi="Times New Roman" w:cs="Times New Roman"/>
          <w:sz w:val="24"/>
          <w:szCs w:val="24"/>
        </w:rPr>
        <w:t xml:space="preserve"> –</w:t>
      </w:r>
      <w:r w:rsidRPr="0025003E">
        <w:rPr>
          <w:rFonts w:ascii="Times New Roman" w:eastAsia="Candara" w:hAnsi="Times New Roman" w:cs="Times New Roman"/>
          <w:sz w:val="24"/>
          <w:szCs w:val="24"/>
        </w:rPr>
        <w:t xml:space="preserve"> were</w:t>
      </w:r>
      <w:r>
        <w:rPr>
          <w:rFonts w:ascii="Times New Roman" w:eastAsia="Candara" w:hAnsi="Times New Roman" w:cs="Times New Roman"/>
          <w:sz w:val="24"/>
          <w:szCs w:val="24"/>
        </w:rPr>
        <w:t xml:space="preserve"> </w:t>
      </w:r>
      <w:r w:rsidRPr="0025003E">
        <w:rPr>
          <w:rFonts w:ascii="Times New Roman" w:eastAsia="Candara" w:hAnsi="Times New Roman" w:cs="Times New Roman"/>
          <w:sz w:val="24"/>
          <w:szCs w:val="24"/>
        </w:rPr>
        <w:t xml:space="preserve">debunked. According to Belcher (2019) editors reject articles mainly because there is no argument, and the role of argumentation in academic writing was </w:t>
      </w:r>
      <w:r>
        <w:rPr>
          <w:rFonts w:ascii="Times New Roman" w:eastAsia="Candara" w:hAnsi="Times New Roman" w:cs="Times New Roman"/>
          <w:sz w:val="24"/>
          <w:szCs w:val="24"/>
        </w:rPr>
        <w:t xml:space="preserve">seen to be </w:t>
      </w:r>
      <w:r w:rsidRPr="0025003E">
        <w:rPr>
          <w:rFonts w:ascii="Times New Roman" w:eastAsia="Candara" w:hAnsi="Times New Roman" w:cs="Times New Roman"/>
          <w:sz w:val="24"/>
          <w:szCs w:val="24"/>
        </w:rPr>
        <w:t xml:space="preserve">an alien concept. One of the obstacles to publishing that was discovered was the expense involved and the concept of paying to get published was a new concept for people from Humanities and Social Science </w:t>
      </w:r>
      <w:r>
        <w:rPr>
          <w:rFonts w:ascii="Times New Roman" w:eastAsia="Candara" w:hAnsi="Times New Roman" w:cs="Times New Roman"/>
          <w:sz w:val="24"/>
          <w:szCs w:val="24"/>
        </w:rPr>
        <w:t>b</w:t>
      </w:r>
      <w:r w:rsidRPr="0025003E">
        <w:rPr>
          <w:rFonts w:ascii="Times New Roman" w:eastAsia="Candara" w:hAnsi="Times New Roman" w:cs="Times New Roman"/>
          <w:sz w:val="24"/>
          <w:szCs w:val="24"/>
        </w:rPr>
        <w:t>ackground</w:t>
      </w:r>
      <w:r>
        <w:rPr>
          <w:rFonts w:ascii="Times New Roman" w:eastAsia="Candara" w:hAnsi="Times New Roman" w:cs="Times New Roman"/>
          <w:sz w:val="24"/>
          <w:szCs w:val="24"/>
        </w:rPr>
        <w:t>s</w:t>
      </w:r>
      <w:r w:rsidRPr="0025003E">
        <w:rPr>
          <w:rFonts w:ascii="Times New Roman" w:eastAsia="Candara" w:hAnsi="Times New Roman" w:cs="Times New Roman"/>
          <w:sz w:val="24"/>
          <w:szCs w:val="24"/>
        </w:rPr>
        <w:t>. In sum, a certain demystification of the process of publishing was achieved.</w:t>
      </w:r>
    </w:p>
    <w:p w14:paraId="14E63BB4" w14:textId="77777777" w:rsidR="00511512" w:rsidRPr="0025003E" w:rsidRDefault="00511512" w:rsidP="00511512">
      <w:pPr>
        <w:spacing w:line="276" w:lineRule="auto"/>
        <w:rPr>
          <w:rFonts w:ascii="Times New Roman" w:eastAsia="Candara" w:hAnsi="Times New Roman" w:cs="Times New Roman"/>
          <w:sz w:val="24"/>
          <w:szCs w:val="24"/>
        </w:rPr>
      </w:pPr>
      <w:r w:rsidRPr="0025003E">
        <w:rPr>
          <w:rFonts w:ascii="Times New Roman" w:eastAsia="Candara" w:hAnsi="Times New Roman" w:cs="Times New Roman"/>
          <w:sz w:val="24"/>
          <w:szCs w:val="24"/>
        </w:rPr>
        <w:t xml:space="preserve">A key issue in all HEIs is to improve student engagement and retention. In this scenario, the teachers have to be very skilled and </w:t>
      </w:r>
      <w:r w:rsidRPr="00394EEE">
        <w:rPr>
          <w:rFonts w:ascii="Times New Roman" w:eastAsia="Candara" w:hAnsi="Times New Roman" w:cs="Times New Roman"/>
          <w:sz w:val="24"/>
          <w:szCs w:val="24"/>
        </w:rPr>
        <w:t>personalize</w:t>
      </w:r>
      <w:r w:rsidRPr="0025003E">
        <w:rPr>
          <w:rFonts w:ascii="Times New Roman" w:eastAsia="Candara" w:hAnsi="Times New Roman" w:cs="Times New Roman"/>
          <w:sz w:val="24"/>
          <w:szCs w:val="24"/>
        </w:rPr>
        <w:t xml:space="preserve"> learning by focusing on skills that students see as valuable. These approaches were tethered to latest </w:t>
      </w:r>
      <w:r>
        <w:rPr>
          <w:rFonts w:ascii="Times New Roman" w:eastAsia="Candara" w:hAnsi="Times New Roman" w:cs="Times New Roman"/>
          <w:sz w:val="24"/>
          <w:szCs w:val="24"/>
        </w:rPr>
        <w:t>e</w:t>
      </w:r>
      <w:r w:rsidRPr="0025003E">
        <w:rPr>
          <w:rFonts w:ascii="Times New Roman" w:eastAsia="Candara" w:hAnsi="Times New Roman" w:cs="Times New Roman"/>
          <w:sz w:val="24"/>
          <w:szCs w:val="24"/>
        </w:rPr>
        <w:t>d</w:t>
      </w:r>
      <w:r>
        <w:rPr>
          <w:rFonts w:ascii="Times New Roman" w:eastAsia="Candara" w:hAnsi="Times New Roman" w:cs="Times New Roman"/>
          <w:sz w:val="24"/>
          <w:szCs w:val="24"/>
        </w:rPr>
        <w:t xml:space="preserve">ucational </w:t>
      </w:r>
      <w:r w:rsidRPr="0025003E">
        <w:rPr>
          <w:rFonts w:ascii="Times New Roman" w:eastAsia="Candara" w:hAnsi="Times New Roman" w:cs="Times New Roman"/>
          <w:sz w:val="24"/>
          <w:szCs w:val="24"/>
        </w:rPr>
        <w:t>tech</w:t>
      </w:r>
      <w:r>
        <w:rPr>
          <w:rFonts w:ascii="Times New Roman" w:eastAsia="Candara" w:hAnsi="Times New Roman" w:cs="Times New Roman"/>
          <w:sz w:val="24"/>
          <w:szCs w:val="24"/>
        </w:rPr>
        <w:t>nology</w:t>
      </w:r>
      <w:r w:rsidRPr="0025003E">
        <w:rPr>
          <w:rFonts w:ascii="Times New Roman" w:eastAsia="Candara" w:hAnsi="Times New Roman" w:cs="Times New Roman"/>
          <w:sz w:val="24"/>
          <w:szCs w:val="24"/>
        </w:rPr>
        <w:t xml:space="preserve"> tools to produce synchronous and asynchronous content. Our challenge was to introduce change through our own practice with online teaching presenting a natural avenue for technological innovation. Therefore, under the gambit of change necessitated by the pandemic we managed to introduce some systemic, attitudinal and transformational changes without raising any undue alarm. This success could be attributed to our socially and culturally inclusive approach to literacy. </w:t>
      </w:r>
    </w:p>
    <w:p w14:paraId="5F8D338B" w14:textId="77777777" w:rsidR="00511512" w:rsidRPr="00273333" w:rsidRDefault="00511512" w:rsidP="00511512">
      <w:pPr>
        <w:pStyle w:val="Heading1"/>
      </w:pPr>
      <w:r w:rsidRPr="00273333">
        <w:t xml:space="preserve">Discussion </w:t>
      </w:r>
      <w:r>
        <w:t>and Recommendations</w:t>
      </w:r>
    </w:p>
    <w:p w14:paraId="46FF3C74" w14:textId="77777777" w:rsidR="00511512" w:rsidRPr="004F7647" w:rsidRDefault="00511512" w:rsidP="00511512">
      <w:pPr>
        <w:rPr>
          <w:rFonts w:ascii="Times New Roman" w:eastAsiaTheme="minorEastAsia" w:hAnsi="Times New Roman" w:cs="Times New Roman"/>
          <w:sz w:val="24"/>
          <w:szCs w:val="24"/>
          <w:lang w:val="en-CA"/>
        </w:rPr>
      </w:pPr>
      <w:r>
        <w:rPr>
          <w:rFonts w:ascii="Times New Roman" w:eastAsia="Calibri" w:hAnsi="Times New Roman" w:cs="Times New Roman"/>
          <w:color w:val="000000" w:themeColor="text1"/>
          <w:sz w:val="24"/>
          <w:szCs w:val="24"/>
        </w:rPr>
        <w:t xml:space="preserve">The NFDP-2020 was an attempt to purposefully infuse the importance of equity </w:t>
      </w:r>
      <w:r w:rsidRPr="004F7647">
        <w:rPr>
          <w:rFonts w:ascii="Times New Roman" w:hAnsi="Times New Roman" w:cs="Times New Roman"/>
          <w:sz w:val="24"/>
          <w:szCs w:val="24"/>
        </w:rPr>
        <w:t>and</w:t>
      </w:r>
      <w:r>
        <w:rPr>
          <w:rFonts w:ascii="Times New Roman" w:hAnsi="Times New Roman" w:cs="Times New Roman"/>
          <w:sz w:val="24"/>
          <w:szCs w:val="24"/>
        </w:rPr>
        <w:t xml:space="preserve"> </w:t>
      </w:r>
      <w:r w:rsidRPr="004F7647">
        <w:rPr>
          <w:rFonts w:ascii="Times New Roman" w:hAnsi="Times New Roman" w:cs="Times New Roman"/>
          <w:sz w:val="24"/>
          <w:szCs w:val="24"/>
        </w:rPr>
        <w:t xml:space="preserve">inclusion throughout </w:t>
      </w:r>
      <w:r>
        <w:rPr>
          <w:rFonts w:ascii="Times New Roman" w:hAnsi="Times New Roman" w:cs="Times New Roman"/>
          <w:sz w:val="24"/>
          <w:szCs w:val="24"/>
        </w:rPr>
        <w:t>its</w:t>
      </w:r>
      <w:r w:rsidRPr="004F7647">
        <w:rPr>
          <w:rFonts w:ascii="Times New Roman" w:hAnsi="Times New Roman" w:cs="Times New Roman"/>
          <w:sz w:val="24"/>
          <w:szCs w:val="24"/>
        </w:rPr>
        <w:t xml:space="preserve"> life cycle</w:t>
      </w:r>
      <w:r>
        <w:rPr>
          <w:rFonts w:ascii="Times New Roman" w:hAnsi="Times New Roman" w:cs="Times New Roman"/>
          <w:sz w:val="24"/>
          <w:szCs w:val="24"/>
        </w:rPr>
        <w:t xml:space="preserve">: from </w:t>
      </w:r>
      <w:r>
        <w:rPr>
          <w:rFonts w:ascii="Times New Roman" w:hAnsi="Times New Roman" w:cs="Times New Roman"/>
          <w:sz w:val="24"/>
          <w:szCs w:val="24"/>
          <w:lang w:val="en-CA"/>
        </w:rPr>
        <w:t xml:space="preserve">conception and </w:t>
      </w:r>
      <w:r w:rsidRPr="004F7647">
        <w:rPr>
          <w:rFonts w:ascii="Times New Roman" w:hAnsi="Times New Roman" w:cs="Times New Roman"/>
          <w:sz w:val="24"/>
          <w:szCs w:val="24"/>
          <w:lang w:val="en-CA"/>
        </w:rPr>
        <w:t>planning</w:t>
      </w:r>
      <w:r>
        <w:rPr>
          <w:rFonts w:ascii="Times New Roman" w:hAnsi="Times New Roman" w:cs="Times New Roman"/>
          <w:sz w:val="24"/>
          <w:szCs w:val="24"/>
          <w:lang w:val="en-CA"/>
        </w:rPr>
        <w:t xml:space="preserve"> to</w:t>
      </w:r>
      <w:r w:rsidRPr="004F7647">
        <w:rPr>
          <w:rFonts w:ascii="Times New Roman" w:hAnsi="Times New Roman" w:cs="Times New Roman"/>
          <w:sz w:val="24"/>
          <w:szCs w:val="24"/>
          <w:lang w:val="en-CA"/>
        </w:rPr>
        <w:t xml:space="preserve"> design, and delivery</w:t>
      </w:r>
      <w:r>
        <w:rPr>
          <w:rFonts w:ascii="Times New Roman" w:hAnsi="Times New Roman" w:cs="Times New Roman"/>
          <w:sz w:val="24"/>
          <w:szCs w:val="24"/>
          <w:lang w:val="en-CA"/>
        </w:rPr>
        <w:t>,</w:t>
      </w:r>
      <w:r w:rsidRPr="004F7647">
        <w:rPr>
          <w:rFonts w:ascii="Times New Roman" w:hAnsi="Times New Roman" w:cs="Times New Roman"/>
          <w:sz w:val="24"/>
          <w:szCs w:val="24"/>
          <w:lang w:val="en-CA"/>
        </w:rPr>
        <w:t xml:space="preserve"> across all elements</w:t>
      </w:r>
      <w:r>
        <w:rPr>
          <w:rFonts w:ascii="Times New Roman" w:hAnsi="Times New Roman" w:cs="Times New Roman"/>
          <w:sz w:val="24"/>
          <w:szCs w:val="24"/>
          <w:lang w:val="en-CA"/>
        </w:rPr>
        <w:t xml:space="preserve">. This paper focuses on four elements, the design framework, active learning, opportunities for engagement beyond the classroom, and an inclusive, practice-based approach to literacy in English. </w:t>
      </w:r>
      <w:r>
        <w:rPr>
          <w:rFonts w:ascii="Times New Roman" w:eastAsia="Calibri" w:hAnsi="Times New Roman" w:cs="Times New Roman"/>
          <w:color w:val="000000" w:themeColor="text1"/>
          <w:sz w:val="24"/>
          <w:szCs w:val="24"/>
        </w:rPr>
        <w:t>Diversity of the</w:t>
      </w:r>
      <w:r w:rsidRPr="0025003E">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instructional</w:t>
      </w:r>
      <w:r w:rsidRPr="0025003E">
        <w:rPr>
          <w:rFonts w:ascii="Times New Roman" w:eastAsia="Calibri" w:hAnsi="Times New Roman" w:cs="Times New Roman"/>
          <w:color w:val="000000" w:themeColor="text1"/>
          <w:sz w:val="24"/>
          <w:szCs w:val="24"/>
        </w:rPr>
        <w:t xml:space="preserve"> team</w:t>
      </w:r>
      <w:r>
        <w:rPr>
          <w:rFonts w:ascii="Times New Roman" w:eastAsia="Calibri" w:hAnsi="Times New Roman" w:cs="Times New Roman"/>
          <w:color w:val="000000" w:themeColor="text1"/>
          <w:sz w:val="24"/>
          <w:szCs w:val="24"/>
        </w:rPr>
        <w:t xml:space="preserve"> – country, </w:t>
      </w:r>
      <w:r w:rsidRPr="0025003E">
        <w:rPr>
          <w:rFonts w:ascii="Times New Roman" w:eastAsia="Calibri" w:hAnsi="Times New Roman" w:cs="Times New Roman"/>
          <w:color w:val="000000" w:themeColor="text1"/>
          <w:sz w:val="24"/>
          <w:szCs w:val="24"/>
        </w:rPr>
        <w:t>culture, gender, discipline, experi</w:t>
      </w:r>
      <w:r>
        <w:rPr>
          <w:rFonts w:ascii="Times New Roman" w:eastAsia="Calibri" w:hAnsi="Times New Roman" w:cs="Times New Roman"/>
          <w:color w:val="000000" w:themeColor="text1"/>
          <w:sz w:val="24"/>
          <w:szCs w:val="24"/>
        </w:rPr>
        <w:t>ence level, background, etc. – was critical to support a</w:t>
      </w:r>
      <w:r w:rsidRPr="0025003E">
        <w:rPr>
          <w:rFonts w:ascii="Times New Roman" w:eastAsia="Calibri" w:hAnsi="Times New Roman" w:cs="Times New Roman"/>
          <w:color w:val="000000" w:themeColor="text1"/>
          <w:sz w:val="24"/>
          <w:szCs w:val="24"/>
        </w:rPr>
        <w:t xml:space="preserve"> comprehensive view of inclusivity in </w:t>
      </w:r>
      <w:r>
        <w:rPr>
          <w:rFonts w:ascii="Times New Roman" w:eastAsia="Calibri" w:hAnsi="Times New Roman" w:cs="Times New Roman"/>
          <w:color w:val="000000" w:themeColor="text1"/>
          <w:sz w:val="24"/>
          <w:szCs w:val="24"/>
        </w:rPr>
        <w:t xml:space="preserve">program </w:t>
      </w:r>
      <w:r w:rsidRPr="0025003E">
        <w:rPr>
          <w:rFonts w:ascii="Times New Roman" w:eastAsia="Calibri" w:hAnsi="Times New Roman" w:cs="Times New Roman"/>
          <w:color w:val="000000" w:themeColor="text1"/>
          <w:sz w:val="24"/>
          <w:szCs w:val="24"/>
        </w:rPr>
        <w:t>delivery and content</w:t>
      </w:r>
      <w:r>
        <w:rPr>
          <w:rFonts w:ascii="Times New Roman" w:eastAsia="Calibri" w:hAnsi="Times New Roman" w:cs="Times New Roman"/>
          <w:color w:val="000000" w:themeColor="text1"/>
          <w:sz w:val="24"/>
          <w:szCs w:val="24"/>
        </w:rPr>
        <w:t>.</w:t>
      </w:r>
    </w:p>
    <w:p w14:paraId="48BF09A1" w14:textId="77777777" w:rsidR="00511512" w:rsidRDefault="00511512" w:rsidP="00511512">
      <w:pPr>
        <w:spacing w:line="276" w:lineRule="auto"/>
        <w:rPr>
          <w:rFonts w:ascii="Times New Roman" w:eastAsia="Calibri" w:hAnsi="Times New Roman" w:cs="Times New Roman"/>
          <w:color w:val="000000" w:themeColor="text1"/>
          <w:sz w:val="24"/>
          <w:szCs w:val="24"/>
        </w:rPr>
      </w:pPr>
      <w:r w:rsidRPr="6B18A693">
        <w:rPr>
          <w:rFonts w:ascii="Times New Roman" w:eastAsia="Calibri" w:hAnsi="Times New Roman" w:cs="Times New Roman"/>
          <w:color w:val="000000" w:themeColor="text1"/>
          <w:sz w:val="24"/>
          <w:szCs w:val="24"/>
        </w:rPr>
        <w:t xml:space="preserve">From an administrative perspective, the program aimed to balance all-too-real issues of access and accessibility. The pandemic and lockdown affected people differently, depending on their homes, families, gender, socio-economic status, geographic location and numerous other factors. All of this was also true for the participants of this program. Online learning gave us voyeuristic glimpses into homes and lives. Unmuted microphones carried the sounds of crying babies, voices of members of the household, the clatter of kitchen utensils, or the sound of traffic into our spaces. </w:t>
      </w:r>
      <w:r w:rsidRPr="00EF71E8">
        <w:rPr>
          <w:rFonts w:ascii="Times New Roman" w:eastAsia="Calibri" w:hAnsi="Times New Roman" w:cs="Times New Roman"/>
          <w:color w:val="000000" w:themeColor="text1"/>
          <w:sz w:val="24"/>
          <w:szCs w:val="24"/>
        </w:rPr>
        <w:t xml:space="preserve">We </w:t>
      </w:r>
      <w:r>
        <w:rPr>
          <w:rFonts w:ascii="Times New Roman" w:eastAsia="Calibri" w:hAnsi="Times New Roman" w:cs="Times New Roman"/>
          <w:color w:val="000000" w:themeColor="text1"/>
          <w:sz w:val="24"/>
          <w:szCs w:val="24"/>
        </w:rPr>
        <w:t xml:space="preserve">received countless </w:t>
      </w:r>
      <w:r w:rsidRPr="00EF71E8">
        <w:rPr>
          <w:rFonts w:ascii="Times New Roman" w:eastAsia="Calibri" w:hAnsi="Times New Roman" w:cs="Times New Roman"/>
          <w:color w:val="000000" w:themeColor="text1"/>
          <w:sz w:val="24"/>
          <w:szCs w:val="24"/>
        </w:rPr>
        <w:t>request</w:t>
      </w:r>
      <w:r>
        <w:rPr>
          <w:rFonts w:ascii="Times New Roman" w:eastAsia="Calibri" w:hAnsi="Times New Roman" w:cs="Times New Roman"/>
          <w:color w:val="000000" w:themeColor="text1"/>
          <w:sz w:val="24"/>
          <w:szCs w:val="24"/>
        </w:rPr>
        <w:t>s for</w:t>
      </w:r>
      <w:r w:rsidRPr="00EF71E8">
        <w:rPr>
          <w:rFonts w:ascii="Times New Roman" w:eastAsia="Calibri" w:hAnsi="Times New Roman" w:cs="Times New Roman"/>
          <w:color w:val="000000" w:themeColor="text1"/>
          <w:sz w:val="24"/>
          <w:szCs w:val="24"/>
        </w:rPr>
        <w:t xml:space="preserve"> time off </w:t>
      </w:r>
      <w:r>
        <w:rPr>
          <w:rFonts w:ascii="Times New Roman" w:eastAsia="Calibri" w:hAnsi="Times New Roman" w:cs="Times New Roman"/>
          <w:color w:val="000000" w:themeColor="text1"/>
          <w:sz w:val="24"/>
          <w:szCs w:val="24"/>
        </w:rPr>
        <w:t xml:space="preserve">or deferral </w:t>
      </w:r>
      <w:r w:rsidRPr="00EF71E8">
        <w:rPr>
          <w:rFonts w:ascii="Times New Roman" w:eastAsia="Calibri" w:hAnsi="Times New Roman" w:cs="Times New Roman"/>
          <w:color w:val="000000" w:themeColor="text1"/>
          <w:sz w:val="24"/>
          <w:szCs w:val="24"/>
        </w:rPr>
        <w:t>due to ill health, to look after unwell family members, or for a bereavement. These issues appear</w:t>
      </w:r>
      <w:r>
        <w:rPr>
          <w:rFonts w:ascii="Times New Roman" w:eastAsia="Calibri" w:hAnsi="Times New Roman" w:cs="Times New Roman"/>
          <w:color w:val="000000" w:themeColor="text1"/>
          <w:sz w:val="24"/>
          <w:szCs w:val="24"/>
        </w:rPr>
        <w:t>ed</w:t>
      </w:r>
      <w:r w:rsidRPr="00EF71E8">
        <w:rPr>
          <w:rFonts w:ascii="Times New Roman" w:eastAsia="Calibri" w:hAnsi="Times New Roman" w:cs="Times New Roman"/>
          <w:color w:val="000000" w:themeColor="text1"/>
          <w:sz w:val="24"/>
          <w:szCs w:val="24"/>
        </w:rPr>
        <w:t xml:space="preserve"> even starker against the backdrop of a global pandemic, looming economic crises, and the desperate need for </w:t>
      </w:r>
      <w:r w:rsidRPr="00EF71E8">
        <w:rPr>
          <w:rFonts w:ascii="Times New Roman" w:eastAsia="Calibri" w:hAnsi="Times New Roman" w:cs="Times New Roman"/>
          <w:color w:val="000000" w:themeColor="text1"/>
          <w:sz w:val="24"/>
          <w:szCs w:val="24"/>
        </w:rPr>
        <w:lastRenderedPageBreak/>
        <w:t>employment. They do not even begin to touch upon systemic inequity based on ethnic, religious or linguistic difference</w:t>
      </w:r>
      <w:r>
        <w:rPr>
          <w:rFonts w:ascii="Times New Roman" w:eastAsia="Calibri" w:hAnsi="Times New Roman" w:cs="Times New Roman"/>
          <w:color w:val="000000" w:themeColor="text1"/>
          <w:sz w:val="24"/>
          <w:szCs w:val="24"/>
        </w:rPr>
        <w:t>, which should be considered in all future programs</w:t>
      </w:r>
      <w:r w:rsidRPr="00EF71E8">
        <w:rPr>
          <w:rFonts w:ascii="Times New Roman" w:eastAsia="Calibri" w:hAnsi="Times New Roman" w:cs="Times New Roman"/>
          <w:color w:val="000000" w:themeColor="text1"/>
          <w:sz w:val="24"/>
          <w:szCs w:val="24"/>
        </w:rPr>
        <w:t xml:space="preserve">. </w:t>
      </w:r>
    </w:p>
    <w:p w14:paraId="63E13702" w14:textId="77777777" w:rsidR="00511512" w:rsidRDefault="00511512" w:rsidP="00511512">
      <w:pPr>
        <w:spacing w:line="276" w:lineRule="auto"/>
        <w:rPr>
          <w:rFonts w:ascii="Times New Roman" w:eastAsia="Calibri" w:hAnsi="Times New Roman" w:cs="Times New Roman"/>
          <w:color w:val="000000" w:themeColor="text1"/>
          <w:sz w:val="24"/>
          <w:szCs w:val="24"/>
        </w:rPr>
      </w:pPr>
      <w:r w:rsidRPr="00EF71E8">
        <w:rPr>
          <w:rFonts w:ascii="Times New Roman" w:eastAsia="Calibri" w:hAnsi="Times New Roman" w:cs="Times New Roman"/>
          <w:color w:val="000000" w:themeColor="text1"/>
          <w:sz w:val="24"/>
          <w:szCs w:val="24"/>
        </w:rPr>
        <w:t>The NFDP participant data show some very clear yet predictable patterns. For example</w:t>
      </w:r>
      <w:r>
        <w:rPr>
          <w:rFonts w:ascii="Times New Roman" w:eastAsia="Calibri" w:hAnsi="Times New Roman" w:cs="Times New Roman"/>
          <w:color w:val="000000" w:themeColor="text1"/>
          <w:sz w:val="24"/>
          <w:szCs w:val="24"/>
        </w:rPr>
        <w:t>,</w:t>
      </w:r>
      <w:r w:rsidRPr="00EF71E8">
        <w:rPr>
          <w:rFonts w:ascii="Times New Roman" w:eastAsia="Calibri" w:hAnsi="Times New Roman" w:cs="Times New Roman"/>
          <w:color w:val="000000" w:themeColor="text1"/>
          <w:sz w:val="24"/>
          <w:szCs w:val="24"/>
        </w:rPr>
        <w:t xml:space="preserve"> there were almost twice as many male participants as female, the largest number of participants was from the province of Punjab, and social sciences, arts and humanities make up </w:t>
      </w:r>
      <w:r>
        <w:rPr>
          <w:rFonts w:ascii="Times New Roman" w:eastAsia="Calibri" w:hAnsi="Times New Roman" w:cs="Times New Roman"/>
          <w:color w:val="000000" w:themeColor="text1"/>
          <w:sz w:val="24"/>
          <w:szCs w:val="24"/>
        </w:rPr>
        <w:t xml:space="preserve">only </w:t>
      </w:r>
      <w:r w:rsidRPr="00EF71E8">
        <w:rPr>
          <w:rFonts w:ascii="Times New Roman" w:eastAsia="Calibri" w:hAnsi="Times New Roman" w:cs="Times New Roman"/>
          <w:color w:val="000000" w:themeColor="text1"/>
          <w:sz w:val="24"/>
          <w:szCs w:val="24"/>
        </w:rPr>
        <w:t xml:space="preserve">a handful of the degrees attained. Yet they also reveal the diversity inherent in the program in terms of regions represented, countries from where PhDs were earned, and disciplinary backgrounds. </w:t>
      </w:r>
      <w:r>
        <w:rPr>
          <w:rFonts w:ascii="Times New Roman" w:eastAsia="Calibri" w:hAnsi="Times New Roman" w:cs="Times New Roman"/>
          <w:color w:val="000000" w:themeColor="text1"/>
          <w:sz w:val="24"/>
          <w:szCs w:val="24"/>
        </w:rPr>
        <w:t xml:space="preserve">Given this diversity and unique global circumstances, the program was more like a meta-study in what it means to be a ‘good’ teacher in that it was a continuous balancing act between </w:t>
      </w:r>
      <w:r w:rsidRPr="00DD6F2E">
        <w:rPr>
          <w:rFonts w:ascii="Times New Roman" w:eastAsia="Calibri" w:hAnsi="Times New Roman" w:cs="Times New Roman"/>
          <w:color w:val="000000" w:themeColor="text1"/>
          <w:sz w:val="24"/>
          <w:szCs w:val="24"/>
        </w:rPr>
        <w:t>training to be better professors and following the best practices one is trying to</w:t>
      </w:r>
      <w:r w:rsidRPr="00D0212D">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teach</w:t>
      </w:r>
      <w:r w:rsidRPr="00DD6F2E">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rPr>
        <w:t xml:space="preserve"> </w:t>
      </w:r>
    </w:p>
    <w:p w14:paraId="5208398B" w14:textId="77777777" w:rsidR="00511512" w:rsidRDefault="00511512" w:rsidP="00511512">
      <w:pPr>
        <w:spacing w:line="276"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It also aimed to balance the experience of learning/teaching online while simultaneously engaging with how to better manage online learning. Issues of internet connectivity and power outages plagued Fellows, instructors and administrators; yet there were many instances of great motivation and resilience to ensure they could continue to participate. </w:t>
      </w:r>
    </w:p>
    <w:p w14:paraId="20945FF7" w14:textId="77777777" w:rsidR="00511512" w:rsidRDefault="00511512" w:rsidP="00511512">
      <w:pPr>
        <w:spacing w:line="276" w:lineRule="auto"/>
        <w:rPr>
          <w:rFonts w:ascii="Times New Roman" w:eastAsia="Calibri" w:hAnsi="Times New Roman" w:cs="Times New Roman"/>
          <w:color w:val="000000" w:themeColor="text1"/>
          <w:sz w:val="24"/>
          <w:szCs w:val="24"/>
        </w:rPr>
      </w:pPr>
      <w:r w:rsidRPr="0012031A">
        <w:rPr>
          <w:rFonts w:ascii="Times New Roman" w:eastAsia="Calibri" w:hAnsi="Times New Roman" w:cs="Times New Roman"/>
          <w:color w:val="000000" w:themeColor="text1"/>
          <w:sz w:val="24"/>
          <w:szCs w:val="24"/>
        </w:rPr>
        <w:t xml:space="preserve">NFDP-2020 built capacity for both online and in-person delivery, which </w:t>
      </w:r>
      <w:r>
        <w:rPr>
          <w:rFonts w:ascii="Times New Roman" w:eastAsia="Calibri" w:hAnsi="Times New Roman" w:cs="Times New Roman"/>
          <w:color w:val="000000" w:themeColor="text1"/>
          <w:sz w:val="24"/>
          <w:szCs w:val="24"/>
        </w:rPr>
        <w:t>supported</w:t>
      </w:r>
      <w:r w:rsidRPr="0012031A">
        <w:rPr>
          <w:rFonts w:ascii="Times New Roman" w:eastAsia="Calibri" w:hAnsi="Times New Roman" w:cs="Times New Roman"/>
          <w:color w:val="000000" w:themeColor="text1"/>
          <w:sz w:val="24"/>
          <w:szCs w:val="24"/>
        </w:rPr>
        <w:t xml:space="preserve"> (1) adaptability</w:t>
      </w:r>
      <w:r>
        <w:rPr>
          <w:rFonts w:ascii="Times New Roman" w:eastAsia="Calibri" w:hAnsi="Times New Roman" w:cs="Times New Roman"/>
          <w:color w:val="000000" w:themeColor="text1"/>
          <w:sz w:val="24"/>
          <w:szCs w:val="24"/>
        </w:rPr>
        <w:t>,</w:t>
      </w:r>
      <w:r w:rsidRPr="0012031A">
        <w:rPr>
          <w:rFonts w:ascii="Times New Roman" w:eastAsia="Calibri" w:hAnsi="Times New Roman" w:cs="Times New Roman"/>
          <w:color w:val="000000" w:themeColor="text1"/>
          <w:sz w:val="24"/>
          <w:szCs w:val="24"/>
        </w:rPr>
        <w:t xml:space="preserve"> or </w:t>
      </w:r>
      <w:r>
        <w:rPr>
          <w:rFonts w:ascii="Times New Roman" w:eastAsia="Calibri" w:hAnsi="Times New Roman" w:cs="Times New Roman"/>
          <w:color w:val="000000" w:themeColor="text1"/>
          <w:sz w:val="24"/>
          <w:szCs w:val="24"/>
        </w:rPr>
        <w:t>the</w:t>
      </w:r>
      <w:r w:rsidRPr="0012031A">
        <w:rPr>
          <w:rFonts w:ascii="Times New Roman" w:eastAsia="Calibri" w:hAnsi="Times New Roman" w:cs="Times New Roman"/>
          <w:color w:val="000000" w:themeColor="text1"/>
          <w:sz w:val="24"/>
          <w:szCs w:val="24"/>
        </w:rPr>
        <w:t xml:space="preserve"> confidence to adapt</w:t>
      </w:r>
      <w:r>
        <w:rPr>
          <w:rFonts w:ascii="Times New Roman" w:eastAsia="Calibri" w:hAnsi="Times New Roman" w:cs="Times New Roman"/>
          <w:color w:val="000000" w:themeColor="text1"/>
          <w:sz w:val="24"/>
          <w:szCs w:val="24"/>
        </w:rPr>
        <w:t>, (2) flexibility, or the willingness to consider it</w:t>
      </w:r>
      <w:r w:rsidRPr="0012031A">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3</w:t>
      </w:r>
      <w:r w:rsidRPr="0012031A">
        <w:rPr>
          <w:rFonts w:ascii="Times New Roman" w:eastAsia="Calibri" w:hAnsi="Times New Roman" w:cs="Times New Roman"/>
          <w:color w:val="000000" w:themeColor="text1"/>
          <w:sz w:val="24"/>
          <w:szCs w:val="24"/>
        </w:rPr>
        <w:t>) an opportunity to gain empathy for future students in online classrooms</w:t>
      </w:r>
      <w:r>
        <w:rPr>
          <w:rFonts w:ascii="Times New Roman" w:eastAsia="Calibri" w:hAnsi="Times New Roman" w:cs="Times New Roman"/>
          <w:color w:val="000000" w:themeColor="text1"/>
          <w:sz w:val="24"/>
          <w:szCs w:val="24"/>
        </w:rPr>
        <w:t xml:space="preserve"> (4) confidence to enter the profession with a set of skills that is considered vital in a post-COVID learning environment.</w:t>
      </w:r>
    </w:p>
    <w:p w14:paraId="773251BB" w14:textId="77777777" w:rsidR="00511512" w:rsidRDefault="00511512" w:rsidP="00511512">
      <w:pPr>
        <w:spacing w:line="276"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The program has produced a great deal of data, from pre-assessment to final grades. Its analysis has the potential to reveal much more about ways in which it supported inclusivity and equity. A few questions that it could explore are: (1) Did the program help to close the gender gap in terms of performance from pre-assessment to the end of the program? (2) What were some trends in participation during the program (perhaps reviewing the ‘chat’ in Microsoft Teams)? (3) Which activities to support equity learned during the program were utilized most once Fellows were employed? </w:t>
      </w:r>
    </w:p>
    <w:p w14:paraId="60766C51" w14:textId="77777777" w:rsidR="00511512" w:rsidRPr="004035B8" w:rsidRDefault="00511512" w:rsidP="00511512">
      <w:pPr>
        <w:spacing w:line="276" w:lineRule="auto"/>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The NFDP-2020 experience teaches us that </w:t>
      </w:r>
      <w:r w:rsidRPr="00BF42D0">
        <w:rPr>
          <w:rFonts w:ascii="Times New Roman" w:eastAsia="Calibri" w:hAnsi="Times New Roman" w:cs="Times New Roman"/>
          <w:color w:val="000000" w:themeColor="text1"/>
          <w:sz w:val="24"/>
          <w:szCs w:val="24"/>
        </w:rPr>
        <w:t>planning</w:t>
      </w:r>
      <w:r>
        <w:rPr>
          <w:rFonts w:ascii="Times New Roman" w:eastAsia="Calibri" w:hAnsi="Times New Roman" w:cs="Times New Roman"/>
          <w:color w:val="000000" w:themeColor="text1"/>
          <w:sz w:val="24"/>
          <w:szCs w:val="24"/>
        </w:rPr>
        <w:t xml:space="preserve"> and </w:t>
      </w:r>
      <w:r w:rsidRPr="00BF42D0">
        <w:rPr>
          <w:rFonts w:ascii="Times New Roman" w:eastAsia="Calibri" w:hAnsi="Times New Roman" w:cs="Times New Roman"/>
          <w:color w:val="000000" w:themeColor="text1"/>
          <w:sz w:val="24"/>
          <w:szCs w:val="24"/>
        </w:rPr>
        <w:t>design of instruction and engagement activities are ways to build capacity for promoting equity and inclusion in academia</w:t>
      </w:r>
      <w:r>
        <w:rPr>
          <w:rFonts w:ascii="Times New Roman" w:eastAsia="Calibri" w:hAnsi="Times New Roman" w:cs="Times New Roman"/>
          <w:color w:val="000000" w:themeColor="text1"/>
          <w:sz w:val="24"/>
          <w:szCs w:val="24"/>
        </w:rPr>
        <w:t xml:space="preserve">; there is a need to keep this as an explicit focus at all stages of the process. </w:t>
      </w:r>
    </w:p>
    <w:p w14:paraId="3A264328" w14:textId="77777777" w:rsidR="00511512" w:rsidRPr="00C80E40" w:rsidRDefault="00511512" w:rsidP="00511512">
      <w:pPr>
        <w:spacing w:line="276" w:lineRule="auto"/>
        <w:rPr>
          <w:rFonts w:ascii="Times New Roman" w:eastAsia="Calibri" w:hAnsi="Times New Roman" w:cs="Times New Roman"/>
          <w:color w:val="000000" w:themeColor="text1"/>
          <w:sz w:val="24"/>
          <w:szCs w:val="24"/>
        </w:rPr>
      </w:pPr>
    </w:p>
    <w:p w14:paraId="68EB264D" w14:textId="77777777" w:rsidR="00511512" w:rsidRPr="004035B8" w:rsidRDefault="00511512" w:rsidP="00511512">
      <w:pPr>
        <w:pStyle w:val="Heading1"/>
        <w:numPr>
          <w:ilvl w:val="0"/>
          <w:numId w:val="0"/>
        </w:numPr>
        <w:ind w:left="360" w:hanging="360"/>
      </w:pPr>
      <w:r w:rsidRPr="00273333">
        <w:t>References</w:t>
      </w:r>
    </w:p>
    <w:p w14:paraId="202950D6" w14:textId="77777777" w:rsidR="00511512" w:rsidRPr="004035B8" w:rsidRDefault="00511512" w:rsidP="00511512">
      <w:pPr>
        <w:spacing w:line="276" w:lineRule="auto"/>
        <w:ind w:left="851" w:hanging="851"/>
        <w:rPr>
          <w:rFonts w:ascii="Times New Roman" w:hAnsi="Times New Roman" w:cs="Times New Roman"/>
          <w:color w:val="000000" w:themeColor="text1"/>
          <w:sz w:val="24"/>
          <w:szCs w:val="24"/>
        </w:rPr>
      </w:pPr>
      <w:r w:rsidRPr="004035B8">
        <w:rPr>
          <w:rFonts w:ascii="Times New Roman" w:hAnsi="Times New Roman" w:cs="Times New Roman"/>
          <w:color w:val="000000" w:themeColor="text1"/>
          <w:sz w:val="24"/>
          <w:szCs w:val="24"/>
        </w:rPr>
        <w:t xml:space="preserve">Agarwal, A. (2019). Three reasons why active learning will drive the workforce of tomorrow. </w:t>
      </w:r>
      <w:r w:rsidRPr="004035B8">
        <w:rPr>
          <w:rFonts w:ascii="Times New Roman" w:hAnsi="Times New Roman" w:cs="Times New Roman"/>
          <w:i/>
          <w:iCs/>
          <w:color w:val="000000" w:themeColor="text1"/>
          <w:sz w:val="24"/>
          <w:szCs w:val="24"/>
        </w:rPr>
        <w:t>Forbes online</w:t>
      </w:r>
      <w:r w:rsidRPr="004035B8">
        <w:rPr>
          <w:rFonts w:ascii="Times New Roman" w:hAnsi="Times New Roman" w:cs="Times New Roman"/>
          <w:color w:val="000000" w:themeColor="text1"/>
          <w:sz w:val="24"/>
          <w:szCs w:val="24"/>
        </w:rPr>
        <w:t xml:space="preserve">. Posted July 9, 2019. </w:t>
      </w:r>
      <w:r w:rsidRPr="004035B8">
        <w:rPr>
          <w:rFonts w:ascii="Times New Roman" w:hAnsi="Times New Roman" w:cs="Times New Roman"/>
          <w:sz w:val="24"/>
          <w:szCs w:val="24"/>
        </w:rPr>
        <w:t>https://www.forbes.com/sites/anantagarwal/2019/ 07/09/three-</w:t>
      </w:r>
      <w:r w:rsidRPr="004035B8">
        <w:rPr>
          <w:rFonts w:ascii="Times New Roman" w:hAnsi="Times New Roman" w:cs="Times New Roman"/>
          <w:color w:val="000000" w:themeColor="text1"/>
          <w:sz w:val="24"/>
          <w:szCs w:val="24"/>
        </w:rPr>
        <w:t>reasons-why-active-learning-will-drive-the-workforce-of-tomorrow/?sh=6b090d38f936.</w:t>
      </w:r>
    </w:p>
    <w:p w14:paraId="6C0ED4B1" w14:textId="77777777" w:rsidR="00511512" w:rsidRPr="004035B8" w:rsidRDefault="00511512" w:rsidP="00511512">
      <w:pPr>
        <w:spacing w:line="276" w:lineRule="auto"/>
        <w:ind w:left="851" w:hanging="851"/>
        <w:rPr>
          <w:rFonts w:ascii="Times New Roman" w:hAnsi="Times New Roman" w:cs="Times New Roman"/>
          <w:color w:val="000000" w:themeColor="text1"/>
          <w:sz w:val="24"/>
          <w:szCs w:val="24"/>
        </w:rPr>
      </w:pPr>
      <w:proofErr w:type="spellStart"/>
      <w:r w:rsidRPr="004035B8">
        <w:rPr>
          <w:rFonts w:ascii="Times New Roman" w:hAnsi="Times New Roman" w:cs="Times New Roman"/>
          <w:color w:val="000000" w:themeColor="text1"/>
          <w:sz w:val="24"/>
          <w:szCs w:val="24"/>
        </w:rPr>
        <w:lastRenderedPageBreak/>
        <w:t>Aguillon</w:t>
      </w:r>
      <w:proofErr w:type="spellEnd"/>
      <w:r w:rsidRPr="004035B8">
        <w:rPr>
          <w:rFonts w:ascii="Times New Roman" w:hAnsi="Times New Roman" w:cs="Times New Roman"/>
          <w:color w:val="000000" w:themeColor="text1"/>
          <w:sz w:val="24"/>
          <w:szCs w:val="24"/>
        </w:rPr>
        <w:t xml:space="preserve">, S.M., </w:t>
      </w:r>
      <w:proofErr w:type="spellStart"/>
      <w:r w:rsidRPr="004035B8">
        <w:rPr>
          <w:rFonts w:ascii="Times New Roman" w:hAnsi="Times New Roman" w:cs="Times New Roman"/>
          <w:color w:val="000000" w:themeColor="text1"/>
          <w:sz w:val="24"/>
          <w:szCs w:val="24"/>
        </w:rPr>
        <w:t>Siegmund</w:t>
      </w:r>
      <w:proofErr w:type="spellEnd"/>
      <w:r w:rsidRPr="004035B8">
        <w:rPr>
          <w:rFonts w:ascii="Times New Roman" w:hAnsi="Times New Roman" w:cs="Times New Roman"/>
          <w:color w:val="000000" w:themeColor="text1"/>
          <w:sz w:val="24"/>
          <w:szCs w:val="24"/>
        </w:rPr>
        <w:t xml:space="preserve">, G.-F., </w:t>
      </w:r>
      <w:proofErr w:type="spellStart"/>
      <w:r w:rsidRPr="004035B8">
        <w:rPr>
          <w:rFonts w:ascii="Times New Roman" w:hAnsi="Times New Roman" w:cs="Times New Roman"/>
          <w:color w:val="000000" w:themeColor="text1"/>
          <w:sz w:val="24"/>
          <w:szCs w:val="24"/>
        </w:rPr>
        <w:t>Petipas</w:t>
      </w:r>
      <w:proofErr w:type="spellEnd"/>
      <w:r w:rsidRPr="004035B8">
        <w:rPr>
          <w:rFonts w:ascii="Times New Roman" w:hAnsi="Times New Roman" w:cs="Times New Roman"/>
          <w:color w:val="000000" w:themeColor="text1"/>
          <w:sz w:val="24"/>
          <w:szCs w:val="24"/>
        </w:rPr>
        <w:t xml:space="preserve">, R.H., Drake, A.G., </w:t>
      </w:r>
      <w:proofErr w:type="spellStart"/>
      <w:r w:rsidRPr="004035B8">
        <w:rPr>
          <w:rFonts w:ascii="Times New Roman" w:hAnsi="Times New Roman" w:cs="Times New Roman"/>
          <w:color w:val="000000" w:themeColor="text1"/>
          <w:sz w:val="24"/>
          <w:szCs w:val="24"/>
        </w:rPr>
        <w:t>Cotner</w:t>
      </w:r>
      <w:proofErr w:type="spellEnd"/>
      <w:r w:rsidRPr="004035B8">
        <w:rPr>
          <w:rFonts w:ascii="Times New Roman" w:hAnsi="Times New Roman" w:cs="Times New Roman"/>
          <w:color w:val="000000" w:themeColor="text1"/>
          <w:sz w:val="24"/>
          <w:szCs w:val="24"/>
        </w:rPr>
        <w:t xml:space="preserve">, S., and </w:t>
      </w:r>
      <w:proofErr w:type="spellStart"/>
      <w:r w:rsidRPr="004035B8">
        <w:rPr>
          <w:rFonts w:ascii="Times New Roman" w:hAnsi="Times New Roman" w:cs="Times New Roman"/>
          <w:color w:val="000000" w:themeColor="text1"/>
          <w:sz w:val="24"/>
          <w:szCs w:val="24"/>
        </w:rPr>
        <w:t>Ballen</w:t>
      </w:r>
      <w:proofErr w:type="spellEnd"/>
      <w:r w:rsidRPr="004035B8">
        <w:rPr>
          <w:rFonts w:ascii="Times New Roman" w:hAnsi="Times New Roman" w:cs="Times New Roman"/>
          <w:color w:val="000000" w:themeColor="text1"/>
          <w:sz w:val="24"/>
          <w:szCs w:val="24"/>
        </w:rPr>
        <w:t xml:space="preserve">, C.J. (2020). Gender differences in student participation in an active-learning classroom. </w:t>
      </w:r>
      <w:r w:rsidRPr="004035B8">
        <w:rPr>
          <w:rFonts w:ascii="Times New Roman" w:hAnsi="Times New Roman" w:cs="Times New Roman"/>
          <w:i/>
          <w:iCs/>
          <w:color w:val="000000" w:themeColor="text1"/>
          <w:sz w:val="24"/>
          <w:szCs w:val="24"/>
        </w:rPr>
        <w:t>CBE-Life Sciences Education</w:t>
      </w:r>
      <w:r w:rsidRPr="004035B8">
        <w:rPr>
          <w:rFonts w:ascii="Times New Roman" w:hAnsi="Times New Roman" w:cs="Times New Roman"/>
          <w:color w:val="000000" w:themeColor="text1"/>
          <w:sz w:val="24"/>
          <w:szCs w:val="24"/>
        </w:rPr>
        <w:t>, 19(ar12), 1-20.</w:t>
      </w:r>
    </w:p>
    <w:p w14:paraId="100277ED" w14:textId="77777777" w:rsidR="00511512" w:rsidRPr="004035B8" w:rsidRDefault="00511512" w:rsidP="00511512">
      <w:pPr>
        <w:spacing w:line="276" w:lineRule="auto"/>
        <w:ind w:left="851" w:hanging="851"/>
        <w:rPr>
          <w:rFonts w:ascii="Times New Roman" w:hAnsi="Times New Roman" w:cs="Times New Roman"/>
          <w:color w:val="000000" w:themeColor="text1"/>
          <w:sz w:val="24"/>
          <w:szCs w:val="24"/>
        </w:rPr>
      </w:pPr>
      <w:proofErr w:type="spellStart"/>
      <w:r w:rsidRPr="004035B8">
        <w:rPr>
          <w:rFonts w:ascii="Times New Roman" w:hAnsi="Times New Roman" w:cs="Times New Roman"/>
          <w:color w:val="000000" w:themeColor="text1"/>
          <w:sz w:val="24"/>
          <w:szCs w:val="24"/>
        </w:rPr>
        <w:t>Ansmann</w:t>
      </w:r>
      <w:proofErr w:type="spellEnd"/>
      <w:r w:rsidRPr="004035B8">
        <w:rPr>
          <w:rFonts w:ascii="Times New Roman" w:hAnsi="Times New Roman" w:cs="Times New Roman"/>
          <w:color w:val="000000" w:themeColor="text1"/>
          <w:sz w:val="24"/>
          <w:szCs w:val="24"/>
        </w:rPr>
        <w:t xml:space="preserve">, L., Flickinger, T. E., </w:t>
      </w:r>
      <w:proofErr w:type="spellStart"/>
      <w:r w:rsidRPr="004035B8">
        <w:rPr>
          <w:rFonts w:ascii="Times New Roman" w:hAnsi="Times New Roman" w:cs="Times New Roman"/>
          <w:color w:val="000000" w:themeColor="text1"/>
          <w:sz w:val="24"/>
          <w:szCs w:val="24"/>
        </w:rPr>
        <w:t>Barello</w:t>
      </w:r>
      <w:proofErr w:type="spellEnd"/>
      <w:r w:rsidRPr="004035B8">
        <w:rPr>
          <w:rFonts w:ascii="Times New Roman" w:hAnsi="Times New Roman" w:cs="Times New Roman"/>
          <w:color w:val="000000" w:themeColor="text1"/>
          <w:sz w:val="24"/>
          <w:szCs w:val="24"/>
        </w:rPr>
        <w:t xml:space="preserve">, S., </w:t>
      </w:r>
      <w:proofErr w:type="spellStart"/>
      <w:r w:rsidRPr="004035B8">
        <w:rPr>
          <w:rFonts w:ascii="Times New Roman" w:hAnsi="Times New Roman" w:cs="Times New Roman"/>
          <w:color w:val="000000" w:themeColor="text1"/>
          <w:sz w:val="24"/>
          <w:szCs w:val="24"/>
        </w:rPr>
        <w:t>Kunneman</w:t>
      </w:r>
      <w:proofErr w:type="spellEnd"/>
      <w:r w:rsidRPr="004035B8">
        <w:rPr>
          <w:rFonts w:ascii="Times New Roman" w:hAnsi="Times New Roman" w:cs="Times New Roman"/>
          <w:color w:val="000000" w:themeColor="text1"/>
          <w:sz w:val="24"/>
          <w:szCs w:val="24"/>
        </w:rPr>
        <w:t xml:space="preserve">, M., </w:t>
      </w:r>
      <w:proofErr w:type="spellStart"/>
      <w:r w:rsidRPr="004035B8">
        <w:rPr>
          <w:rFonts w:ascii="Times New Roman" w:hAnsi="Times New Roman" w:cs="Times New Roman"/>
          <w:color w:val="000000" w:themeColor="text1"/>
          <w:sz w:val="24"/>
          <w:szCs w:val="24"/>
        </w:rPr>
        <w:t>Mantwill</w:t>
      </w:r>
      <w:proofErr w:type="spellEnd"/>
      <w:r w:rsidRPr="004035B8">
        <w:rPr>
          <w:rFonts w:ascii="Times New Roman" w:hAnsi="Times New Roman" w:cs="Times New Roman"/>
          <w:color w:val="000000" w:themeColor="text1"/>
          <w:sz w:val="24"/>
          <w:szCs w:val="24"/>
        </w:rPr>
        <w:t xml:space="preserve">, S., </w:t>
      </w:r>
      <w:proofErr w:type="spellStart"/>
      <w:r w:rsidRPr="004035B8">
        <w:rPr>
          <w:rFonts w:ascii="Times New Roman" w:hAnsi="Times New Roman" w:cs="Times New Roman"/>
          <w:color w:val="000000" w:themeColor="text1"/>
          <w:sz w:val="24"/>
          <w:szCs w:val="24"/>
        </w:rPr>
        <w:t>Quilligan</w:t>
      </w:r>
      <w:proofErr w:type="spellEnd"/>
      <w:r w:rsidRPr="004035B8">
        <w:rPr>
          <w:rFonts w:ascii="Times New Roman" w:hAnsi="Times New Roman" w:cs="Times New Roman"/>
          <w:color w:val="000000" w:themeColor="text1"/>
          <w:sz w:val="24"/>
          <w:szCs w:val="24"/>
        </w:rPr>
        <w:t xml:space="preserve">, S., … </w:t>
      </w:r>
      <w:proofErr w:type="spellStart"/>
      <w:r w:rsidRPr="004035B8">
        <w:rPr>
          <w:rFonts w:ascii="Times New Roman" w:hAnsi="Times New Roman" w:cs="Times New Roman"/>
          <w:color w:val="000000" w:themeColor="text1"/>
          <w:sz w:val="24"/>
          <w:szCs w:val="24"/>
        </w:rPr>
        <w:t>Aelbrecht</w:t>
      </w:r>
      <w:proofErr w:type="spellEnd"/>
      <w:r w:rsidRPr="004035B8">
        <w:rPr>
          <w:rFonts w:ascii="Times New Roman" w:hAnsi="Times New Roman" w:cs="Times New Roman"/>
          <w:color w:val="000000" w:themeColor="text1"/>
          <w:sz w:val="24"/>
          <w:szCs w:val="24"/>
        </w:rPr>
        <w:t xml:space="preserve">, K. (2014). Career development for early career academics: Benefits of networking and the role of professional societies. </w:t>
      </w:r>
      <w:r w:rsidRPr="004035B8">
        <w:rPr>
          <w:rFonts w:ascii="Times New Roman" w:hAnsi="Times New Roman" w:cs="Times New Roman"/>
          <w:i/>
          <w:iCs/>
          <w:color w:val="000000" w:themeColor="text1"/>
          <w:sz w:val="24"/>
          <w:szCs w:val="24"/>
        </w:rPr>
        <w:t>Patient Education and Counseling, 97</w:t>
      </w:r>
      <w:r w:rsidRPr="004035B8">
        <w:rPr>
          <w:rFonts w:ascii="Times New Roman" w:hAnsi="Times New Roman" w:cs="Times New Roman"/>
          <w:color w:val="000000" w:themeColor="text1"/>
          <w:sz w:val="24"/>
          <w:szCs w:val="24"/>
        </w:rPr>
        <w:t xml:space="preserve">(1), 132–134. </w:t>
      </w:r>
      <w:hyperlink r:id="rId15">
        <w:r w:rsidRPr="004035B8">
          <w:rPr>
            <w:rStyle w:val="Hyperlink"/>
            <w:rFonts w:ascii="Times New Roman" w:hAnsi="Times New Roman" w:cs="Times New Roman"/>
            <w:sz w:val="24"/>
            <w:szCs w:val="24"/>
          </w:rPr>
          <w:t>https://doi.org/10.1016/j.pec.2014.06.013</w:t>
        </w:r>
      </w:hyperlink>
    </w:p>
    <w:p w14:paraId="49BF68AF" w14:textId="77777777" w:rsidR="00511512" w:rsidRPr="004035B8" w:rsidRDefault="00511512" w:rsidP="00511512">
      <w:pPr>
        <w:spacing w:line="276" w:lineRule="auto"/>
        <w:ind w:left="720" w:hanging="720"/>
        <w:rPr>
          <w:rFonts w:ascii="Times New Roman" w:eastAsia="Candara" w:hAnsi="Times New Roman" w:cs="Times New Roman"/>
          <w:sz w:val="24"/>
          <w:szCs w:val="24"/>
        </w:rPr>
      </w:pPr>
      <w:r w:rsidRPr="004035B8">
        <w:rPr>
          <w:rFonts w:ascii="Times New Roman" w:eastAsia="Candara" w:hAnsi="Times New Roman" w:cs="Times New Roman"/>
          <w:sz w:val="24"/>
          <w:szCs w:val="24"/>
        </w:rPr>
        <w:t xml:space="preserve">Belcher, W. L. (2019). </w:t>
      </w:r>
      <w:r w:rsidRPr="004035B8">
        <w:rPr>
          <w:rFonts w:ascii="Times New Roman" w:eastAsia="Candara" w:hAnsi="Times New Roman" w:cs="Times New Roman"/>
          <w:i/>
          <w:iCs/>
          <w:sz w:val="24"/>
          <w:szCs w:val="24"/>
        </w:rPr>
        <w:t xml:space="preserve">Writing your journal article in twelve weeks: A guide to academic publishing success. </w:t>
      </w:r>
      <w:r w:rsidRPr="004035B8">
        <w:rPr>
          <w:rFonts w:ascii="Times New Roman" w:eastAsia="Candara" w:hAnsi="Times New Roman" w:cs="Times New Roman"/>
          <w:sz w:val="24"/>
          <w:szCs w:val="24"/>
        </w:rPr>
        <w:t>University of Chicago Press.</w:t>
      </w:r>
    </w:p>
    <w:p w14:paraId="4F1FD425" w14:textId="77777777" w:rsidR="00511512" w:rsidRPr="004035B8" w:rsidRDefault="00511512" w:rsidP="00511512">
      <w:pPr>
        <w:spacing w:line="276" w:lineRule="auto"/>
        <w:rPr>
          <w:rFonts w:ascii="Times New Roman" w:eastAsia="Candara" w:hAnsi="Times New Roman" w:cs="Times New Roman"/>
          <w:sz w:val="24"/>
          <w:szCs w:val="24"/>
        </w:rPr>
      </w:pPr>
      <w:r w:rsidRPr="004035B8">
        <w:rPr>
          <w:rFonts w:ascii="Times New Roman" w:eastAsia="Candara" w:hAnsi="Times New Roman" w:cs="Times New Roman"/>
          <w:sz w:val="24"/>
          <w:szCs w:val="24"/>
        </w:rPr>
        <w:t xml:space="preserve">Block, D. (2013). Issues in language and identity research in applied linguistics. </w:t>
      </w:r>
      <w:r w:rsidRPr="004035B8">
        <w:rPr>
          <w:rFonts w:ascii="Times New Roman" w:eastAsia="Candara" w:hAnsi="Times New Roman" w:cs="Times New Roman"/>
          <w:i/>
          <w:iCs/>
          <w:sz w:val="24"/>
          <w:szCs w:val="24"/>
        </w:rPr>
        <w:t>ELIA</w:t>
      </w:r>
      <w:r w:rsidRPr="004035B8">
        <w:rPr>
          <w:rFonts w:ascii="Times New Roman" w:eastAsia="Candara" w:hAnsi="Times New Roman" w:cs="Times New Roman"/>
          <w:sz w:val="24"/>
          <w:szCs w:val="24"/>
        </w:rPr>
        <w:t>, (13), 11.</w:t>
      </w:r>
    </w:p>
    <w:p w14:paraId="131A6FBA" w14:textId="77777777" w:rsidR="00511512" w:rsidRPr="004035B8" w:rsidRDefault="00511512" w:rsidP="00511512">
      <w:pPr>
        <w:spacing w:line="276" w:lineRule="auto"/>
        <w:ind w:left="851" w:hanging="851"/>
        <w:rPr>
          <w:rFonts w:ascii="Times New Roman" w:hAnsi="Times New Roman" w:cs="Times New Roman"/>
          <w:color w:val="000000" w:themeColor="text1"/>
          <w:sz w:val="24"/>
          <w:szCs w:val="24"/>
        </w:rPr>
      </w:pPr>
      <w:r w:rsidRPr="004035B8">
        <w:rPr>
          <w:rFonts w:ascii="Times New Roman" w:hAnsi="Times New Roman" w:cs="Times New Roman"/>
          <w:color w:val="000000" w:themeColor="text1"/>
          <w:sz w:val="24"/>
          <w:szCs w:val="24"/>
        </w:rPr>
        <w:t xml:space="preserve">Bjorklund, S. A., </w:t>
      </w:r>
      <w:proofErr w:type="spellStart"/>
      <w:r w:rsidRPr="004035B8">
        <w:rPr>
          <w:rFonts w:ascii="Times New Roman" w:hAnsi="Times New Roman" w:cs="Times New Roman"/>
          <w:color w:val="000000" w:themeColor="text1"/>
          <w:sz w:val="24"/>
          <w:szCs w:val="24"/>
        </w:rPr>
        <w:t>Parente</w:t>
      </w:r>
      <w:proofErr w:type="spellEnd"/>
      <w:r w:rsidRPr="004035B8">
        <w:rPr>
          <w:rFonts w:ascii="Times New Roman" w:hAnsi="Times New Roman" w:cs="Times New Roman"/>
          <w:color w:val="000000" w:themeColor="text1"/>
          <w:sz w:val="24"/>
          <w:szCs w:val="24"/>
        </w:rPr>
        <w:t xml:space="preserve">, J. M., &amp; </w:t>
      </w:r>
      <w:proofErr w:type="spellStart"/>
      <w:r w:rsidRPr="004035B8">
        <w:rPr>
          <w:rFonts w:ascii="Times New Roman" w:hAnsi="Times New Roman" w:cs="Times New Roman"/>
          <w:color w:val="000000" w:themeColor="text1"/>
          <w:sz w:val="24"/>
          <w:szCs w:val="24"/>
        </w:rPr>
        <w:t>Sathianathan</w:t>
      </w:r>
      <w:proofErr w:type="spellEnd"/>
      <w:r w:rsidRPr="004035B8">
        <w:rPr>
          <w:rFonts w:ascii="Times New Roman" w:hAnsi="Times New Roman" w:cs="Times New Roman"/>
          <w:color w:val="000000" w:themeColor="text1"/>
          <w:sz w:val="24"/>
          <w:szCs w:val="24"/>
        </w:rPr>
        <w:t xml:space="preserve">, D. (2004). Effects of faculty interaction and feedback on gains in student skills. </w:t>
      </w:r>
      <w:r w:rsidRPr="004035B8">
        <w:rPr>
          <w:rFonts w:ascii="Times New Roman" w:hAnsi="Times New Roman" w:cs="Times New Roman"/>
          <w:i/>
          <w:iCs/>
          <w:color w:val="000000" w:themeColor="text1"/>
          <w:sz w:val="24"/>
          <w:szCs w:val="24"/>
        </w:rPr>
        <w:t>Journal of Engineering Education, 93</w:t>
      </w:r>
      <w:r w:rsidRPr="004035B8">
        <w:rPr>
          <w:rFonts w:ascii="Times New Roman" w:hAnsi="Times New Roman" w:cs="Times New Roman"/>
          <w:color w:val="000000" w:themeColor="text1"/>
          <w:sz w:val="24"/>
          <w:szCs w:val="24"/>
        </w:rPr>
        <w:t xml:space="preserve">(2), 153–160. </w:t>
      </w:r>
      <w:hyperlink r:id="rId16">
        <w:r w:rsidRPr="004035B8">
          <w:rPr>
            <w:rStyle w:val="Hyperlink"/>
            <w:rFonts w:ascii="Times New Roman" w:hAnsi="Times New Roman" w:cs="Times New Roman"/>
            <w:sz w:val="24"/>
            <w:szCs w:val="24"/>
          </w:rPr>
          <w:t>https://doi.org/10.1002/j.2168-9830.2004.tb00799.x</w:t>
        </w:r>
      </w:hyperlink>
    </w:p>
    <w:p w14:paraId="783CF5B4" w14:textId="77777777" w:rsidR="00511512" w:rsidRPr="004035B8" w:rsidRDefault="00511512" w:rsidP="00511512">
      <w:pPr>
        <w:spacing w:line="276" w:lineRule="auto"/>
        <w:ind w:left="851" w:hanging="851"/>
        <w:rPr>
          <w:rFonts w:ascii="Times New Roman" w:hAnsi="Times New Roman" w:cs="Times New Roman"/>
          <w:color w:val="000000" w:themeColor="text1"/>
          <w:sz w:val="24"/>
          <w:szCs w:val="24"/>
        </w:rPr>
      </w:pPr>
      <w:proofErr w:type="spellStart"/>
      <w:r w:rsidRPr="004035B8">
        <w:rPr>
          <w:rFonts w:ascii="Times New Roman" w:eastAsia="Calibri" w:hAnsi="Times New Roman" w:cs="Times New Roman"/>
          <w:color w:val="222222"/>
          <w:sz w:val="24"/>
          <w:szCs w:val="24"/>
        </w:rPr>
        <w:t>Brame</w:t>
      </w:r>
      <w:proofErr w:type="spellEnd"/>
      <w:r w:rsidRPr="004035B8">
        <w:rPr>
          <w:rFonts w:ascii="Times New Roman" w:eastAsia="Calibri" w:hAnsi="Times New Roman" w:cs="Times New Roman"/>
          <w:color w:val="222222"/>
          <w:sz w:val="24"/>
          <w:szCs w:val="24"/>
        </w:rPr>
        <w:t xml:space="preserve">, C. (2016). Active learning. </w:t>
      </w:r>
      <w:r w:rsidRPr="004035B8">
        <w:rPr>
          <w:rFonts w:ascii="Times New Roman" w:eastAsia="Calibri" w:hAnsi="Times New Roman" w:cs="Times New Roman"/>
          <w:i/>
          <w:iCs/>
          <w:color w:val="222222"/>
          <w:sz w:val="24"/>
          <w:szCs w:val="24"/>
        </w:rPr>
        <w:t>Vanderbilt University Center for Teaching</w:t>
      </w:r>
      <w:r w:rsidRPr="004035B8">
        <w:rPr>
          <w:rFonts w:ascii="Times New Roman" w:eastAsia="Calibri" w:hAnsi="Times New Roman" w:cs="Times New Roman"/>
          <w:color w:val="222222"/>
          <w:sz w:val="24"/>
          <w:szCs w:val="24"/>
        </w:rPr>
        <w:t>. Retrieved March 1, 2020 from https://cft.vanderbilt.edu/active-learning/.</w:t>
      </w:r>
    </w:p>
    <w:p w14:paraId="55AAF100" w14:textId="77777777" w:rsidR="00511512" w:rsidRPr="004035B8" w:rsidRDefault="00511512" w:rsidP="00511512">
      <w:pPr>
        <w:spacing w:line="276" w:lineRule="auto"/>
        <w:ind w:left="851" w:hanging="851"/>
        <w:rPr>
          <w:rFonts w:ascii="Times New Roman" w:hAnsi="Times New Roman" w:cs="Times New Roman"/>
          <w:color w:val="000000" w:themeColor="text1"/>
          <w:sz w:val="24"/>
          <w:szCs w:val="24"/>
        </w:rPr>
      </w:pPr>
      <w:r w:rsidRPr="004035B8">
        <w:rPr>
          <w:rFonts w:ascii="Times New Roman" w:hAnsi="Times New Roman" w:cs="Times New Roman"/>
          <w:color w:val="000000" w:themeColor="text1"/>
          <w:sz w:val="24"/>
          <w:szCs w:val="24"/>
        </w:rPr>
        <w:t>Brownell, S. E., &amp; Tanner, K. D. (2012). Barriers to faculty pedagogical change: Lack of training, time, incentives, and.</w:t>
      </w:r>
      <w:proofErr w:type="gramStart"/>
      <w:r w:rsidRPr="004035B8">
        <w:rPr>
          <w:rFonts w:ascii="Times New Roman" w:hAnsi="Times New Roman" w:cs="Times New Roman"/>
          <w:color w:val="000000" w:themeColor="text1"/>
          <w:sz w:val="24"/>
          <w:szCs w:val="24"/>
        </w:rPr>
        <w:t>..tensions</w:t>
      </w:r>
      <w:proofErr w:type="gramEnd"/>
      <w:r w:rsidRPr="004035B8">
        <w:rPr>
          <w:rFonts w:ascii="Times New Roman" w:hAnsi="Times New Roman" w:cs="Times New Roman"/>
          <w:color w:val="000000" w:themeColor="text1"/>
          <w:sz w:val="24"/>
          <w:szCs w:val="24"/>
        </w:rPr>
        <w:t xml:space="preserve"> with professional identity? </w:t>
      </w:r>
      <w:r w:rsidRPr="004035B8">
        <w:rPr>
          <w:rFonts w:ascii="Times New Roman" w:hAnsi="Times New Roman" w:cs="Times New Roman"/>
          <w:i/>
          <w:color w:val="000000" w:themeColor="text1"/>
          <w:sz w:val="24"/>
          <w:szCs w:val="24"/>
        </w:rPr>
        <w:t>CBE Life Sciences Education, 11</w:t>
      </w:r>
      <w:r w:rsidRPr="004035B8">
        <w:rPr>
          <w:rFonts w:ascii="Times New Roman" w:hAnsi="Times New Roman" w:cs="Times New Roman"/>
          <w:color w:val="000000" w:themeColor="text1"/>
          <w:sz w:val="24"/>
          <w:szCs w:val="24"/>
        </w:rPr>
        <w:t xml:space="preserve">(4), 339–346. </w:t>
      </w:r>
      <w:hyperlink r:id="rId17">
        <w:r w:rsidRPr="004035B8">
          <w:rPr>
            <w:rStyle w:val="Hyperlink"/>
            <w:rFonts w:ascii="Times New Roman" w:hAnsi="Times New Roman" w:cs="Times New Roman"/>
            <w:sz w:val="24"/>
            <w:szCs w:val="24"/>
          </w:rPr>
          <w:t>https://doi.org/10.1187/cbe.12-09-0163</w:t>
        </w:r>
      </w:hyperlink>
    </w:p>
    <w:p w14:paraId="19EC7B86" w14:textId="77777777" w:rsidR="00511512" w:rsidRPr="004035B8" w:rsidRDefault="00511512" w:rsidP="00511512">
      <w:pPr>
        <w:spacing w:line="276" w:lineRule="auto"/>
        <w:ind w:left="851" w:hanging="851"/>
        <w:rPr>
          <w:rFonts w:ascii="Times New Roman" w:hAnsi="Times New Roman" w:cs="Times New Roman"/>
          <w:color w:val="000000" w:themeColor="text1"/>
          <w:sz w:val="24"/>
          <w:szCs w:val="24"/>
        </w:rPr>
      </w:pPr>
      <w:r w:rsidRPr="004035B8">
        <w:rPr>
          <w:rFonts w:ascii="Times New Roman" w:hAnsi="Times New Roman" w:cs="Times New Roman"/>
          <w:color w:val="000000" w:themeColor="text1"/>
          <w:sz w:val="24"/>
          <w:szCs w:val="24"/>
        </w:rPr>
        <w:t xml:space="preserve">CAST (2018). Universal Design for Learning Guidelines version 2.2. http://udlguidelines.cast.org  </w:t>
      </w:r>
    </w:p>
    <w:p w14:paraId="204B7416" w14:textId="77777777" w:rsidR="00511512" w:rsidRPr="004035B8" w:rsidRDefault="00511512" w:rsidP="00511512">
      <w:pPr>
        <w:spacing w:line="276" w:lineRule="auto"/>
        <w:ind w:left="720" w:hanging="720"/>
        <w:rPr>
          <w:rFonts w:ascii="Times New Roman" w:eastAsia="Candara" w:hAnsi="Times New Roman" w:cs="Times New Roman"/>
          <w:sz w:val="24"/>
          <w:szCs w:val="24"/>
        </w:rPr>
      </w:pPr>
      <w:r w:rsidRPr="004035B8">
        <w:rPr>
          <w:rFonts w:ascii="Times New Roman" w:eastAsia="Candara" w:hAnsi="Times New Roman" w:cs="Times New Roman"/>
          <w:sz w:val="24"/>
          <w:szCs w:val="24"/>
        </w:rPr>
        <w:t>Coffin, C and Donohue, J (2014) A language as social semiotic approach to teaching and</w:t>
      </w:r>
      <w:r>
        <w:rPr>
          <w:rFonts w:ascii="Times New Roman" w:eastAsia="Candara" w:hAnsi="Times New Roman" w:cs="Times New Roman"/>
          <w:sz w:val="24"/>
          <w:szCs w:val="24"/>
        </w:rPr>
        <w:t xml:space="preserve"> </w:t>
      </w:r>
      <w:r w:rsidRPr="004035B8">
        <w:rPr>
          <w:rFonts w:ascii="Times New Roman" w:eastAsia="Candara" w:hAnsi="Times New Roman" w:cs="Times New Roman"/>
          <w:sz w:val="24"/>
          <w:szCs w:val="24"/>
        </w:rPr>
        <w:t>learning in higher education (</w:t>
      </w:r>
      <w:r w:rsidRPr="004035B8">
        <w:rPr>
          <w:rFonts w:ascii="Times New Roman" w:eastAsia="Candara" w:hAnsi="Times New Roman" w:cs="Times New Roman"/>
          <w:i/>
          <w:iCs/>
          <w:sz w:val="24"/>
          <w:szCs w:val="24"/>
        </w:rPr>
        <w:t>Language Learning Monograph Series</w:t>
      </w:r>
      <w:r w:rsidRPr="004035B8">
        <w:rPr>
          <w:rFonts w:ascii="Times New Roman" w:eastAsia="Candara" w:hAnsi="Times New Roman" w:cs="Times New Roman"/>
          <w:sz w:val="24"/>
          <w:szCs w:val="24"/>
        </w:rPr>
        <w:t xml:space="preserve">). Chichester, West Sussex; Malden, MA: Wiley‐Blackwell. </w:t>
      </w:r>
      <w:proofErr w:type="gramStart"/>
      <w:r w:rsidRPr="004035B8">
        <w:rPr>
          <w:rFonts w:ascii="Times New Roman" w:eastAsia="Candara" w:hAnsi="Times New Roman" w:cs="Times New Roman"/>
          <w:sz w:val="24"/>
          <w:szCs w:val="24"/>
        </w:rPr>
        <w:t>Also</w:t>
      </w:r>
      <w:proofErr w:type="gramEnd"/>
      <w:r w:rsidRPr="004035B8">
        <w:rPr>
          <w:rFonts w:ascii="Times New Roman" w:eastAsia="Candara" w:hAnsi="Times New Roman" w:cs="Times New Roman"/>
          <w:sz w:val="24"/>
          <w:szCs w:val="24"/>
        </w:rPr>
        <w:t xml:space="preserve"> </w:t>
      </w:r>
      <w:r w:rsidRPr="004035B8">
        <w:rPr>
          <w:rFonts w:ascii="Times New Roman" w:eastAsia="Candara" w:hAnsi="Times New Roman" w:cs="Times New Roman"/>
          <w:i/>
          <w:iCs/>
          <w:sz w:val="24"/>
          <w:szCs w:val="24"/>
        </w:rPr>
        <w:t xml:space="preserve">Language Learning </w:t>
      </w:r>
      <w:r w:rsidRPr="004035B8">
        <w:rPr>
          <w:rFonts w:ascii="Times New Roman" w:eastAsia="Candara" w:hAnsi="Times New Roman" w:cs="Times New Roman"/>
          <w:sz w:val="24"/>
          <w:szCs w:val="24"/>
        </w:rPr>
        <w:t>64, 2014, (Supplement 1).</w:t>
      </w:r>
    </w:p>
    <w:p w14:paraId="09B13082" w14:textId="77777777" w:rsidR="00511512" w:rsidRPr="004035B8" w:rsidRDefault="00511512" w:rsidP="00511512">
      <w:pPr>
        <w:spacing w:line="276" w:lineRule="auto"/>
        <w:ind w:left="851" w:hanging="851"/>
        <w:rPr>
          <w:rFonts w:ascii="Times New Roman" w:hAnsi="Times New Roman" w:cs="Times New Roman"/>
          <w:color w:val="000000" w:themeColor="text1"/>
          <w:sz w:val="24"/>
          <w:szCs w:val="24"/>
        </w:rPr>
      </w:pPr>
      <w:proofErr w:type="spellStart"/>
      <w:r w:rsidRPr="004035B8">
        <w:rPr>
          <w:rFonts w:ascii="Times New Roman" w:hAnsi="Times New Roman" w:cs="Times New Roman"/>
          <w:color w:val="000000" w:themeColor="text1"/>
          <w:sz w:val="24"/>
          <w:szCs w:val="24"/>
        </w:rPr>
        <w:t>Deslauriers</w:t>
      </w:r>
      <w:proofErr w:type="spellEnd"/>
      <w:r w:rsidRPr="004035B8">
        <w:rPr>
          <w:rFonts w:ascii="Times New Roman" w:hAnsi="Times New Roman" w:cs="Times New Roman"/>
          <w:color w:val="000000" w:themeColor="text1"/>
          <w:sz w:val="24"/>
          <w:szCs w:val="24"/>
        </w:rPr>
        <w:t xml:space="preserve">, L., McCarty, L.S., Miller, K., Callaghan, K., and Kestin, G. (2019). Measuring actual learning versus feeling of learning in response to being actively engaged in the classroom. </w:t>
      </w:r>
      <w:r w:rsidRPr="004035B8">
        <w:rPr>
          <w:rFonts w:ascii="Times New Roman" w:hAnsi="Times New Roman" w:cs="Times New Roman"/>
          <w:i/>
          <w:iCs/>
          <w:color w:val="000000" w:themeColor="text1"/>
          <w:sz w:val="24"/>
          <w:szCs w:val="24"/>
        </w:rPr>
        <w:t>PNAS</w:t>
      </w:r>
      <w:r w:rsidRPr="004035B8">
        <w:rPr>
          <w:rFonts w:ascii="Times New Roman" w:hAnsi="Times New Roman" w:cs="Times New Roman"/>
          <w:color w:val="000000" w:themeColor="text1"/>
          <w:sz w:val="24"/>
          <w:szCs w:val="24"/>
        </w:rPr>
        <w:t>, 116(39), 19251-19257.</w:t>
      </w:r>
    </w:p>
    <w:p w14:paraId="6D9EADC3" w14:textId="77777777" w:rsidR="00511512" w:rsidRPr="004035B8" w:rsidRDefault="00511512" w:rsidP="00511512">
      <w:pPr>
        <w:spacing w:line="276" w:lineRule="auto"/>
        <w:ind w:left="851" w:hanging="851"/>
        <w:rPr>
          <w:rFonts w:ascii="Times New Roman" w:hAnsi="Times New Roman" w:cs="Times New Roman"/>
          <w:color w:val="000000" w:themeColor="text1"/>
          <w:sz w:val="24"/>
          <w:szCs w:val="24"/>
        </w:rPr>
      </w:pPr>
      <w:r w:rsidRPr="004035B8">
        <w:rPr>
          <w:rFonts w:ascii="Times New Roman" w:hAnsi="Times New Roman" w:cs="Times New Roman"/>
          <w:color w:val="000000" w:themeColor="text1"/>
          <w:sz w:val="24"/>
          <w:szCs w:val="24"/>
        </w:rPr>
        <w:t xml:space="preserve">Griffin, W., Cohen, S. D., </w:t>
      </w:r>
      <w:proofErr w:type="spellStart"/>
      <w:r w:rsidRPr="004035B8">
        <w:rPr>
          <w:rFonts w:ascii="Times New Roman" w:hAnsi="Times New Roman" w:cs="Times New Roman"/>
          <w:color w:val="000000" w:themeColor="text1"/>
          <w:sz w:val="24"/>
          <w:szCs w:val="24"/>
        </w:rPr>
        <w:t>Berndtson</w:t>
      </w:r>
      <w:proofErr w:type="spellEnd"/>
      <w:r w:rsidRPr="004035B8">
        <w:rPr>
          <w:rFonts w:ascii="Times New Roman" w:hAnsi="Times New Roman" w:cs="Times New Roman"/>
          <w:color w:val="000000" w:themeColor="text1"/>
          <w:sz w:val="24"/>
          <w:szCs w:val="24"/>
        </w:rPr>
        <w:t xml:space="preserve">, R., </w:t>
      </w:r>
      <w:proofErr w:type="spellStart"/>
      <w:r w:rsidRPr="004035B8">
        <w:rPr>
          <w:rFonts w:ascii="Times New Roman" w:hAnsi="Times New Roman" w:cs="Times New Roman"/>
          <w:color w:val="000000" w:themeColor="text1"/>
          <w:sz w:val="24"/>
          <w:szCs w:val="24"/>
        </w:rPr>
        <w:t>Burson</w:t>
      </w:r>
      <w:proofErr w:type="spellEnd"/>
      <w:r w:rsidRPr="004035B8">
        <w:rPr>
          <w:rFonts w:ascii="Times New Roman" w:hAnsi="Times New Roman" w:cs="Times New Roman"/>
          <w:color w:val="000000" w:themeColor="text1"/>
          <w:sz w:val="24"/>
          <w:szCs w:val="24"/>
        </w:rPr>
        <w:t xml:space="preserve">, K. M., Camper, K. M., Chen, Y., &amp; Smith, M. A. (2014). Starting the Conversation: An Exploratory Study of Factors That Influence Student Office Hour Use. </w:t>
      </w:r>
      <w:r w:rsidRPr="004035B8">
        <w:rPr>
          <w:rFonts w:ascii="Times New Roman" w:hAnsi="Times New Roman" w:cs="Times New Roman"/>
          <w:i/>
          <w:color w:val="000000" w:themeColor="text1"/>
          <w:sz w:val="24"/>
          <w:szCs w:val="24"/>
        </w:rPr>
        <w:t>College Teaching, 62</w:t>
      </w:r>
      <w:r w:rsidRPr="004035B8">
        <w:rPr>
          <w:rFonts w:ascii="Times New Roman" w:hAnsi="Times New Roman" w:cs="Times New Roman"/>
          <w:color w:val="000000" w:themeColor="text1"/>
          <w:sz w:val="24"/>
          <w:szCs w:val="24"/>
        </w:rPr>
        <w:t xml:space="preserve">(3), 94–99. </w:t>
      </w:r>
      <w:hyperlink r:id="rId18">
        <w:r w:rsidRPr="004035B8">
          <w:rPr>
            <w:rStyle w:val="Hyperlink"/>
            <w:rFonts w:ascii="Times New Roman" w:hAnsi="Times New Roman" w:cs="Times New Roman"/>
            <w:sz w:val="24"/>
            <w:szCs w:val="24"/>
          </w:rPr>
          <w:t>https://doi.org/10.1080/87567555.2014.896777</w:t>
        </w:r>
      </w:hyperlink>
    </w:p>
    <w:p w14:paraId="7B7CF711" w14:textId="77777777" w:rsidR="00511512" w:rsidRPr="004035B8" w:rsidRDefault="00511512" w:rsidP="00511512">
      <w:pPr>
        <w:spacing w:line="276" w:lineRule="auto"/>
        <w:ind w:left="851" w:hanging="851"/>
        <w:rPr>
          <w:rFonts w:ascii="Times New Roman" w:hAnsi="Times New Roman" w:cs="Times New Roman"/>
          <w:color w:val="000000" w:themeColor="text1"/>
          <w:sz w:val="24"/>
          <w:szCs w:val="24"/>
        </w:rPr>
      </w:pPr>
      <w:r w:rsidRPr="004035B8">
        <w:rPr>
          <w:rFonts w:ascii="Times New Roman" w:hAnsi="Times New Roman" w:cs="Times New Roman"/>
          <w:color w:val="000000" w:themeColor="text1"/>
          <w:sz w:val="24"/>
          <w:szCs w:val="24"/>
        </w:rPr>
        <w:t xml:space="preserve">Guerrero, M., &amp; Rod, A. B. (2013). Engaging in Office Hours: A Study of Student-Faculty Interaction and Academic Performance. </w:t>
      </w:r>
      <w:r w:rsidRPr="004035B8">
        <w:rPr>
          <w:rFonts w:ascii="Times New Roman" w:hAnsi="Times New Roman" w:cs="Times New Roman"/>
          <w:i/>
          <w:color w:val="000000" w:themeColor="text1"/>
          <w:sz w:val="24"/>
          <w:szCs w:val="24"/>
        </w:rPr>
        <w:t>Journal of Political Science Education, 9</w:t>
      </w:r>
      <w:r w:rsidRPr="004035B8">
        <w:rPr>
          <w:rFonts w:ascii="Times New Roman" w:hAnsi="Times New Roman" w:cs="Times New Roman"/>
          <w:color w:val="000000" w:themeColor="text1"/>
          <w:sz w:val="24"/>
          <w:szCs w:val="24"/>
        </w:rPr>
        <w:t>(4), 403–416. https://doi.org/10.1080/15512169.2013.835554</w:t>
      </w:r>
    </w:p>
    <w:p w14:paraId="041F304E" w14:textId="77777777" w:rsidR="00511512" w:rsidRPr="004035B8" w:rsidRDefault="00511512" w:rsidP="00511512">
      <w:pPr>
        <w:spacing w:line="276" w:lineRule="auto"/>
        <w:ind w:left="851" w:hanging="851"/>
        <w:rPr>
          <w:rFonts w:ascii="Times New Roman" w:hAnsi="Times New Roman" w:cs="Times New Roman"/>
          <w:color w:val="000000" w:themeColor="text1"/>
          <w:sz w:val="24"/>
          <w:szCs w:val="24"/>
        </w:rPr>
      </w:pPr>
      <w:proofErr w:type="spellStart"/>
      <w:r w:rsidRPr="004035B8">
        <w:rPr>
          <w:rFonts w:ascii="Times New Roman" w:hAnsi="Times New Roman" w:cs="Times New Roman"/>
          <w:color w:val="000000" w:themeColor="text1"/>
          <w:sz w:val="24"/>
          <w:szCs w:val="24"/>
        </w:rPr>
        <w:lastRenderedPageBreak/>
        <w:t>Haak</w:t>
      </w:r>
      <w:proofErr w:type="spellEnd"/>
      <w:r w:rsidRPr="004035B8">
        <w:rPr>
          <w:rFonts w:ascii="Times New Roman" w:hAnsi="Times New Roman" w:cs="Times New Roman"/>
          <w:color w:val="000000" w:themeColor="text1"/>
          <w:sz w:val="24"/>
          <w:szCs w:val="24"/>
        </w:rPr>
        <w:t xml:space="preserve">, D.C., </w:t>
      </w:r>
      <w:proofErr w:type="spellStart"/>
      <w:r w:rsidRPr="004035B8">
        <w:rPr>
          <w:rFonts w:ascii="Times New Roman" w:hAnsi="Times New Roman" w:cs="Times New Roman"/>
          <w:color w:val="000000" w:themeColor="text1"/>
          <w:sz w:val="24"/>
          <w:szCs w:val="24"/>
        </w:rPr>
        <w:t>HilleRisLambers</w:t>
      </w:r>
      <w:proofErr w:type="spellEnd"/>
      <w:r w:rsidRPr="004035B8">
        <w:rPr>
          <w:rFonts w:ascii="Times New Roman" w:hAnsi="Times New Roman" w:cs="Times New Roman"/>
          <w:color w:val="000000" w:themeColor="text1"/>
          <w:sz w:val="24"/>
          <w:szCs w:val="24"/>
        </w:rPr>
        <w:t xml:space="preserve">, J., </w:t>
      </w:r>
      <w:proofErr w:type="spellStart"/>
      <w:r w:rsidRPr="004035B8">
        <w:rPr>
          <w:rFonts w:ascii="Times New Roman" w:hAnsi="Times New Roman" w:cs="Times New Roman"/>
          <w:color w:val="000000" w:themeColor="text1"/>
          <w:sz w:val="24"/>
          <w:szCs w:val="24"/>
        </w:rPr>
        <w:t>Pitre</w:t>
      </w:r>
      <w:proofErr w:type="spellEnd"/>
      <w:r w:rsidRPr="004035B8">
        <w:rPr>
          <w:rFonts w:ascii="Times New Roman" w:hAnsi="Times New Roman" w:cs="Times New Roman"/>
          <w:color w:val="000000" w:themeColor="text1"/>
          <w:sz w:val="24"/>
          <w:szCs w:val="24"/>
        </w:rPr>
        <w:t xml:space="preserve">, E., and Freeman, S. (2011). Increased structure and active learning reduce the achievement gap in introductory biology. </w:t>
      </w:r>
      <w:r w:rsidRPr="004035B8">
        <w:rPr>
          <w:rFonts w:ascii="Times New Roman" w:hAnsi="Times New Roman" w:cs="Times New Roman"/>
          <w:i/>
          <w:iCs/>
          <w:color w:val="000000" w:themeColor="text1"/>
          <w:sz w:val="24"/>
          <w:szCs w:val="24"/>
        </w:rPr>
        <w:t>Science</w:t>
      </w:r>
      <w:r w:rsidRPr="004035B8">
        <w:rPr>
          <w:rFonts w:ascii="Times New Roman" w:hAnsi="Times New Roman" w:cs="Times New Roman"/>
          <w:color w:val="000000" w:themeColor="text1"/>
          <w:sz w:val="24"/>
          <w:szCs w:val="24"/>
        </w:rPr>
        <w:t>, 332(3), 1213-1216.</w:t>
      </w:r>
    </w:p>
    <w:p w14:paraId="3B8CCDD1" w14:textId="77777777" w:rsidR="00511512" w:rsidRPr="004035B8" w:rsidRDefault="00511512" w:rsidP="00511512">
      <w:pPr>
        <w:spacing w:line="276" w:lineRule="auto"/>
        <w:ind w:left="720" w:hanging="720"/>
        <w:rPr>
          <w:rFonts w:ascii="Times New Roman" w:eastAsia="Candara" w:hAnsi="Times New Roman" w:cs="Times New Roman"/>
          <w:sz w:val="24"/>
          <w:szCs w:val="24"/>
        </w:rPr>
      </w:pPr>
      <w:r w:rsidRPr="004035B8">
        <w:rPr>
          <w:rFonts w:ascii="Times New Roman" w:eastAsia="Candara" w:hAnsi="Times New Roman" w:cs="Times New Roman"/>
          <w:sz w:val="24"/>
          <w:szCs w:val="24"/>
        </w:rPr>
        <w:t xml:space="preserve">Keaton, A.F. (2015). Teaching Students the Importance of Professionalism. </w:t>
      </w:r>
      <w:r w:rsidRPr="004035B8">
        <w:rPr>
          <w:rFonts w:ascii="Times New Roman" w:eastAsia="Candara" w:hAnsi="Times New Roman" w:cs="Times New Roman"/>
          <w:i/>
          <w:iCs/>
          <w:sz w:val="24"/>
          <w:szCs w:val="24"/>
        </w:rPr>
        <w:t xml:space="preserve">Teaching Professor, </w:t>
      </w:r>
      <w:r w:rsidRPr="004035B8">
        <w:rPr>
          <w:rFonts w:ascii="Times New Roman" w:eastAsia="Candara" w:hAnsi="Times New Roman" w:cs="Times New Roman"/>
          <w:sz w:val="24"/>
          <w:szCs w:val="24"/>
        </w:rPr>
        <w:t>29 (6), 5.</w:t>
      </w:r>
    </w:p>
    <w:p w14:paraId="23C0AE95" w14:textId="77777777" w:rsidR="00511512" w:rsidRPr="004035B8" w:rsidRDefault="00511512" w:rsidP="00511512">
      <w:pPr>
        <w:spacing w:line="276" w:lineRule="auto"/>
        <w:ind w:left="720" w:hanging="720"/>
        <w:rPr>
          <w:rFonts w:ascii="Times New Roman" w:eastAsia="Candara" w:hAnsi="Times New Roman" w:cs="Times New Roman"/>
          <w:sz w:val="24"/>
          <w:szCs w:val="24"/>
        </w:rPr>
      </w:pPr>
      <w:r w:rsidRPr="004035B8">
        <w:rPr>
          <w:rFonts w:ascii="Times New Roman" w:eastAsia="Candara" w:hAnsi="Times New Roman" w:cs="Times New Roman"/>
          <w:sz w:val="24"/>
          <w:szCs w:val="24"/>
        </w:rPr>
        <w:t xml:space="preserve">Lea, M. R., &amp; Street, B. V. (1998). Student writing in higher education: An academic literacies approach. </w:t>
      </w:r>
      <w:r w:rsidRPr="004035B8">
        <w:rPr>
          <w:rFonts w:ascii="Times New Roman" w:eastAsia="Candara" w:hAnsi="Times New Roman" w:cs="Times New Roman"/>
          <w:i/>
          <w:iCs/>
          <w:sz w:val="24"/>
          <w:szCs w:val="24"/>
        </w:rPr>
        <w:t>Studies in higher education</w:t>
      </w:r>
      <w:r w:rsidRPr="004035B8">
        <w:rPr>
          <w:rFonts w:ascii="Times New Roman" w:eastAsia="Candara" w:hAnsi="Times New Roman" w:cs="Times New Roman"/>
          <w:sz w:val="24"/>
          <w:szCs w:val="24"/>
        </w:rPr>
        <w:t>, 23(2), 157-172.</w:t>
      </w:r>
    </w:p>
    <w:p w14:paraId="31F653EF" w14:textId="77777777" w:rsidR="00511512" w:rsidRPr="004035B8" w:rsidRDefault="00511512" w:rsidP="00511512">
      <w:pPr>
        <w:spacing w:line="276" w:lineRule="auto"/>
        <w:ind w:left="851" w:hanging="851"/>
        <w:rPr>
          <w:rFonts w:ascii="Times New Roman" w:hAnsi="Times New Roman" w:cs="Times New Roman"/>
          <w:color w:val="000000" w:themeColor="text1"/>
          <w:sz w:val="24"/>
          <w:szCs w:val="24"/>
        </w:rPr>
      </w:pPr>
      <w:r w:rsidRPr="004035B8">
        <w:rPr>
          <w:rFonts w:ascii="Times New Roman" w:hAnsi="Times New Roman" w:cs="Times New Roman"/>
          <w:color w:val="000000" w:themeColor="text1"/>
          <w:sz w:val="24"/>
          <w:szCs w:val="24"/>
        </w:rPr>
        <w:t xml:space="preserve">Lorenzo, M., Crouch, C.H., and Mazur, E. (2006). Reducing the gender gap in the physics classroom. </w:t>
      </w:r>
      <w:r w:rsidRPr="004035B8">
        <w:rPr>
          <w:rFonts w:ascii="Times New Roman" w:hAnsi="Times New Roman" w:cs="Times New Roman"/>
          <w:i/>
          <w:iCs/>
          <w:color w:val="000000" w:themeColor="text1"/>
          <w:sz w:val="24"/>
          <w:szCs w:val="24"/>
        </w:rPr>
        <w:t>American Journal of Physics</w:t>
      </w:r>
      <w:r w:rsidRPr="004035B8">
        <w:rPr>
          <w:rFonts w:ascii="Times New Roman" w:hAnsi="Times New Roman" w:cs="Times New Roman"/>
          <w:color w:val="000000" w:themeColor="text1"/>
          <w:sz w:val="24"/>
          <w:szCs w:val="24"/>
        </w:rPr>
        <w:t>, 74(2), 118- 122.</w:t>
      </w:r>
    </w:p>
    <w:p w14:paraId="51FECE71" w14:textId="77777777" w:rsidR="00511512" w:rsidRPr="004035B8" w:rsidRDefault="00511512" w:rsidP="00511512">
      <w:pPr>
        <w:spacing w:line="276" w:lineRule="auto"/>
        <w:ind w:left="851" w:hanging="851"/>
        <w:rPr>
          <w:rFonts w:ascii="Times New Roman" w:hAnsi="Times New Roman" w:cs="Times New Roman"/>
          <w:color w:val="000000" w:themeColor="text1"/>
          <w:sz w:val="24"/>
          <w:szCs w:val="24"/>
        </w:rPr>
      </w:pPr>
      <w:r w:rsidRPr="004035B8">
        <w:rPr>
          <w:rFonts w:ascii="Times New Roman" w:hAnsi="Times New Roman" w:cs="Times New Roman"/>
          <w:color w:val="000000" w:themeColor="text1"/>
          <w:sz w:val="24"/>
          <w:szCs w:val="24"/>
        </w:rPr>
        <w:t xml:space="preserve">Lumpkin, A., </w:t>
      </w:r>
      <w:proofErr w:type="spellStart"/>
      <w:r w:rsidRPr="004035B8">
        <w:rPr>
          <w:rFonts w:ascii="Times New Roman" w:hAnsi="Times New Roman" w:cs="Times New Roman"/>
          <w:color w:val="000000" w:themeColor="text1"/>
          <w:sz w:val="24"/>
          <w:szCs w:val="24"/>
        </w:rPr>
        <w:t>Achen</w:t>
      </w:r>
      <w:proofErr w:type="spellEnd"/>
      <w:r w:rsidRPr="004035B8">
        <w:rPr>
          <w:rFonts w:ascii="Times New Roman" w:hAnsi="Times New Roman" w:cs="Times New Roman"/>
          <w:color w:val="000000" w:themeColor="text1"/>
          <w:sz w:val="24"/>
          <w:szCs w:val="24"/>
        </w:rPr>
        <w:t xml:space="preserve">, R., and Dodd, R. (2015). Student perceptions of active learning. </w:t>
      </w:r>
      <w:r w:rsidRPr="004035B8">
        <w:rPr>
          <w:rFonts w:ascii="Times New Roman" w:hAnsi="Times New Roman" w:cs="Times New Roman"/>
          <w:i/>
          <w:iCs/>
          <w:color w:val="000000" w:themeColor="text1"/>
          <w:sz w:val="24"/>
          <w:szCs w:val="24"/>
        </w:rPr>
        <w:t>College Student Journal</w:t>
      </w:r>
      <w:r w:rsidRPr="004035B8">
        <w:rPr>
          <w:rFonts w:ascii="Times New Roman" w:hAnsi="Times New Roman" w:cs="Times New Roman"/>
          <w:color w:val="000000" w:themeColor="text1"/>
          <w:sz w:val="24"/>
          <w:szCs w:val="24"/>
        </w:rPr>
        <w:t>, 49, 121-133.</w:t>
      </w:r>
    </w:p>
    <w:p w14:paraId="37429DFE" w14:textId="77777777" w:rsidR="00511512" w:rsidRPr="004035B8" w:rsidRDefault="00511512" w:rsidP="00511512">
      <w:pPr>
        <w:spacing w:line="276" w:lineRule="auto"/>
        <w:ind w:left="851" w:hanging="851"/>
        <w:rPr>
          <w:rFonts w:ascii="Times New Roman" w:hAnsi="Times New Roman" w:cs="Times New Roman"/>
          <w:color w:val="000000" w:themeColor="text1"/>
          <w:sz w:val="24"/>
          <w:szCs w:val="24"/>
        </w:rPr>
      </w:pPr>
      <w:r w:rsidRPr="004035B8">
        <w:rPr>
          <w:rFonts w:ascii="Times New Roman" w:hAnsi="Times New Roman" w:cs="Times New Roman"/>
          <w:color w:val="000000" w:themeColor="text1"/>
          <w:sz w:val="24"/>
          <w:szCs w:val="24"/>
        </w:rPr>
        <w:t xml:space="preserve">Lundberg, C. A., &amp; Schreiner, L. A. (2004). Quality and frequency of faculty-student interaction as predictors of learning: An analysis by student race/ethnicity. Journal of College </w:t>
      </w:r>
      <w:r w:rsidRPr="004035B8">
        <w:rPr>
          <w:rFonts w:ascii="Times New Roman" w:hAnsi="Times New Roman" w:cs="Times New Roman"/>
          <w:i/>
          <w:color w:val="000000" w:themeColor="text1"/>
          <w:sz w:val="24"/>
          <w:szCs w:val="24"/>
        </w:rPr>
        <w:t>Student Development, 45</w:t>
      </w:r>
      <w:r w:rsidRPr="004035B8">
        <w:rPr>
          <w:rFonts w:ascii="Times New Roman" w:hAnsi="Times New Roman" w:cs="Times New Roman"/>
          <w:color w:val="000000" w:themeColor="text1"/>
          <w:sz w:val="24"/>
          <w:szCs w:val="24"/>
        </w:rPr>
        <w:t xml:space="preserve">(5), 549–565. </w:t>
      </w:r>
      <w:hyperlink r:id="rId19">
        <w:r w:rsidRPr="004035B8">
          <w:rPr>
            <w:rStyle w:val="Hyperlink"/>
            <w:rFonts w:ascii="Times New Roman" w:hAnsi="Times New Roman" w:cs="Times New Roman"/>
            <w:sz w:val="24"/>
            <w:szCs w:val="24"/>
          </w:rPr>
          <w:t>https://doi.org/10.1353/csd.2004.0061</w:t>
        </w:r>
      </w:hyperlink>
    </w:p>
    <w:p w14:paraId="11B3E40E" w14:textId="77777777" w:rsidR="00511512" w:rsidRPr="004035B8" w:rsidRDefault="00511512" w:rsidP="00511512">
      <w:pPr>
        <w:spacing w:line="276" w:lineRule="auto"/>
        <w:ind w:left="720" w:hanging="720"/>
        <w:rPr>
          <w:rFonts w:ascii="Times New Roman" w:eastAsia="Candara" w:hAnsi="Times New Roman" w:cs="Times New Roman"/>
          <w:sz w:val="24"/>
          <w:szCs w:val="24"/>
        </w:rPr>
      </w:pPr>
      <w:r w:rsidRPr="004035B8">
        <w:rPr>
          <w:rFonts w:ascii="Times New Roman" w:eastAsia="Candara" w:hAnsi="Times New Roman" w:cs="Times New Roman"/>
          <w:sz w:val="24"/>
          <w:szCs w:val="24"/>
        </w:rPr>
        <w:t xml:space="preserve">Mann, S. J. (2005). Alienation in the learning environment: a failure of community? </w:t>
      </w:r>
      <w:r w:rsidRPr="004035B8">
        <w:rPr>
          <w:rFonts w:ascii="Times New Roman" w:eastAsia="Candara" w:hAnsi="Times New Roman" w:cs="Times New Roman"/>
          <w:i/>
          <w:iCs/>
          <w:sz w:val="24"/>
          <w:szCs w:val="24"/>
        </w:rPr>
        <w:t>Studies in Higher Education</w:t>
      </w:r>
      <w:r w:rsidRPr="004035B8">
        <w:rPr>
          <w:rFonts w:ascii="Times New Roman" w:eastAsia="Candara" w:hAnsi="Times New Roman" w:cs="Times New Roman"/>
          <w:sz w:val="24"/>
          <w:szCs w:val="24"/>
        </w:rPr>
        <w:t>, 30(1), 43-55.</w:t>
      </w:r>
    </w:p>
    <w:p w14:paraId="3D40AB34" w14:textId="77777777" w:rsidR="00511512" w:rsidRPr="004035B8" w:rsidRDefault="00511512" w:rsidP="00511512">
      <w:pPr>
        <w:spacing w:line="276" w:lineRule="auto"/>
        <w:ind w:left="851" w:hanging="851"/>
        <w:rPr>
          <w:rFonts w:ascii="Times New Roman" w:hAnsi="Times New Roman" w:cs="Times New Roman"/>
          <w:color w:val="000000" w:themeColor="text1"/>
          <w:sz w:val="24"/>
          <w:szCs w:val="24"/>
        </w:rPr>
      </w:pPr>
      <w:r w:rsidRPr="004035B8">
        <w:rPr>
          <w:rFonts w:ascii="Times New Roman" w:hAnsi="Times New Roman" w:cs="Times New Roman"/>
          <w:color w:val="000000" w:themeColor="text1"/>
          <w:sz w:val="24"/>
          <w:szCs w:val="24"/>
        </w:rPr>
        <w:t xml:space="preserve">Michael, J. (2006). Where’s the evidence that active learning works? </w:t>
      </w:r>
      <w:r w:rsidRPr="004035B8">
        <w:rPr>
          <w:rFonts w:ascii="Times New Roman" w:hAnsi="Times New Roman" w:cs="Times New Roman"/>
          <w:i/>
          <w:iCs/>
          <w:color w:val="000000" w:themeColor="text1"/>
          <w:sz w:val="24"/>
          <w:szCs w:val="24"/>
        </w:rPr>
        <w:t>Advances in Physiology Education</w:t>
      </w:r>
      <w:r w:rsidRPr="004035B8">
        <w:rPr>
          <w:rFonts w:ascii="Times New Roman" w:hAnsi="Times New Roman" w:cs="Times New Roman"/>
          <w:color w:val="000000" w:themeColor="text1"/>
          <w:sz w:val="24"/>
          <w:szCs w:val="24"/>
        </w:rPr>
        <w:t>, 30, 159-167.</w:t>
      </w:r>
    </w:p>
    <w:p w14:paraId="74F4B39E" w14:textId="77777777" w:rsidR="00511512" w:rsidRPr="004035B8" w:rsidRDefault="00511512" w:rsidP="00511512">
      <w:pPr>
        <w:spacing w:line="276" w:lineRule="auto"/>
        <w:ind w:left="851" w:hanging="851"/>
        <w:rPr>
          <w:rFonts w:ascii="Times New Roman" w:hAnsi="Times New Roman" w:cs="Times New Roman"/>
          <w:color w:val="000000" w:themeColor="text1"/>
          <w:sz w:val="24"/>
          <w:szCs w:val="24"/>
        </w:rPr>
      </w:pPr>
      <w:r w:rsidRPr="004035B8">
        <w:rPr>
          <w:rFonts w:ascii="Times New Roman" w:hAnsi="Times New Roman" w:cs="Times New Roman"/>
          <w:color w:val="000000" w:themeColor="text1"/>
          <w:sz w:val="24"/>
          <w:szCs w:val="24"/>
        </w:rPr>
        <w:t xml:space="preserve">Prince, M. (2004). Does active learning work? A review of the research. </w:t>
      </w:r>
      <w:r w:rsidRPr="004035B8">
        <w:rPr>
          <w:rFonts w:ascii="Times New Roman" w:hAnsi="Times New Roman" w:cs="Times New Roman"/>
          <w:i/>
          <w:iCs/>
          <w:color w:val="000000" w:themeColor="text1"/>
          <w:sz w:val="24"/>
          <w:szCs w:val="24"/>
        </w:rPr>
        <w:t>Journal of Engineering Education</w:t>
      </w:r>
      <w:r w:rsidRPr="004035B8">
        <w:rPr>
          <w:rFonts w:ascii="Times New Roman" w:hAnsi="Times New Roman" w:cs="Times New Roman"/>
          <w:color w:val="000000" w:themeColor="text1"/>
          <w:sz w:val="24"/>
          <w:szCs w:val="24"/>
        </w:rPr>
        <w:t>, July, 223-231.</w:t>
      </w:r>
    </w:p>
    <w:p w14:paraId="6A9BAA69" w14:textId="77777777" w:rsidR="00511512" w:rsidRPr="004035B8" w:rsidRDefault="00511512" w:rsidP="00511512">
      <w:pPr>
        <w:spacing w:line="276" w:lineRule="auto"/>
        <w:ind w:left="851" w:hanging="851"/>
        <w:rPr>
          <w:rFonts w:ascii="Times New Roman" w:hAnsi="Times New Roman" w:cs="Times New Roman"/>
          <w:color w:val="000000" w:themeColor="text1"/>
          <w:sz w:val="24"/>
          <w:szCs w:val="24"/>
        </w:rPr>
      </w:pPr>
      <w:proofErr w:type="spellStart"/>
      <w:r w:rsidRPr="004035B8">
        <w:rPr>
          <w:rFonts w:ascii="Times New Roman" w:hAnsi="Times New Roman" w:cs="Times New Roman"/>
          <w:color w:val="000000" w:themeColor="text1"/>
          <w:sz w:val="24"/>
          <w:szCs w:val="24"/>
        </w:rPr>
        <w:t>Rapanta</w:t>
      </w:r>
      <w:proofErr w:type="spellEnd"/>
      <w:r w:rsidRPr="004035B8">
        <w:rPr>
          <w:rFonts w:ascii="Times New Roman" w:hAnsi="Times New Roman" w:cs="Times New Roman"/>
          <w:color w:val="000000" w:themeColor="text1"/>
          <w:sz w:val="24"/>
          <w:szCs w:val="24"/>
        </w:rPr>
        <w:t xml:space="preserve">, C., </w:t>
      </w:r>
      <w:proofErr w:type="spellStart"/>
      <w:r w:rsidRPr="004035B8">
        <w:rPr>
          <w:rFonts w:ascii="Times New Roman" w:hAnsi="Times New Roman" w:cs="Times New Roman"/>
          <w:color w:val="000000" w:themeColor="text1"/>
          <w:sz w:val="24"/>
          <w:szCs w:val="24"/>
        </w:rPr>
        <w:t>Botturi</w:t>
      </w:r>
      <w:proofErr w:type="spellEnd"/>
      <w:r w:rsidRPr="004035B8">
        <w:rPr>
          <w:rFonts w:ascii="Times New Roman" w:hAnsi="Times New Roman" w:cs="Times New Roman"/>
          <w:color w:val="000000" w:themeColor="text1"/>
          <w:sz w:val="24"/>
          <w:szCs w:val="24"/>
        </w:rPr>
        <w:t xml:space="preserve">, L., Goodyear, P., </w:t>
      </w:r>
      <w:proofErr w:type="spellStart"/>
      <w:r w:rsidRPr="004035B8">
        <w:rPr>
          <w:rFonts w:ascii="Times New Roman" w:hAnsi="Times New Roman" w:cs="Times New Roman"/>
          <w:color w:val="000000" w:themeColor="text1"/>
          <w:sz w:val="24"/>
          <w:szCs w:val="24"/>
        </w:rPr>
        <w:t>Guàrdia</w:t>
      </w:r>
      <w:proofErr w:type="spellEnd"/>
      <w:r w:rsidRPr="004035B8">
        <w:rPr>
          <w:rFonts w:ascii="Times New Roman" w:hAnsi="Times New Roman" w:cs="Times New Roman"/>
          <w:color w:val="000000" w:themeColor="text1"/>
          <w:sz w:val="24"/>
          <w:szCs w:val="24"/>
        </w:rPr>
        <w:t xml:space="preserve">, L., &amp; </w:t>
      </w:r>
      <w:proofErr w:type="spellStart"/>
      <w:r w:rsidRPr="004035B8">
        <w:rPr>
          <w:rFonts w:ascii="Times New Roman" w:hAnsi="Times New Roman" w:cs="Times New Roman"/>
          <w:color w:val="000000" w:themeColor="text1"/>
          <w:sz w:val="24"/>
          <w:szCs w:val="24"/>
        </w:rPr>
        <w:t>Koole</w:t>
      </w:r>
      <w:proofErr w:type="spellEnd"/>
      <w:r w:rsidRPr="004035B8">
        <w:rPr>
          <w:rFonts w:ascii="Times New Roman" w:hAnsi="Times New Roman" w:cs="Times New Roman"/>
          <w:color w:val="000000" w:themeColor="text1"/>
          <w:sz w:val="24"/>
          <w:szCs w:val="24"/>
        </w:rPr>
        <w:t xml:space="preserve">, M. (2020). Online university teaching during and after the Covid-19 crisis: Refocusing teacher presence and learning activity. </w:t>
      </w:r>
      <w:proofErr w:type="spellStart"/>
      <w:r w:rsidRPr="004035B8">
        <w:rPr>
          <w:rFonts w:ascii="Times New Roman" w:hAnsi="Times New Roman" w:cs="Times New Roman"/>
          <w:i/>
          <w:iCs/>
          <w:color w:val="000000" w:themeColor="text1"/>
          <w:sz w:val="24"/>
          <w:szCs w:val="24"/>
        </w:rPr>
        <w:t>Postdigital</w:t>
      </w:r>
      <w:proofErr w:type="spellEnd"/>
      <w:r w:rsidRPr="004035B8">
        <w:rPr>
          <w:rFonts w:ascii="Times New Roman" w:hAnsi="Times New Roman" w:cs="Times New Roman"/>
          <w:i/>
          <w:iCs/>
          <w:color w:val="000000" w:themeColor="text1"/>
          <w:sz w:val="24"/>
          <w:szCs w:val="24"/>
        </w:rPr>
        <w:t xml:space="preserve"> Science and Education, 2</w:t>
      </w:r>
      <w:r w:rsidRPr="004035B8">
        <w:rPr>
          <w:rFonts w:ascii="Times New Roman" w:hAnsi="Times New Roman" w:cs="Times New Roman"/>
          <w:color w:val="000000" w:themeColor="text1"/>
          <w:sz w:val="24"/>
          <w:szCs w:val="24"/>
        </w:rPr>
        <w:t>(3), 923-945</w:t>
      </w:r>
    </w:p>
    <w:p w14:paraId="70E55B47" w14:textId="77777777" w:rsidR="00511512" w:rsidRPr="004035B8" w:rsidRDefault="00511512" w:rsidP="00511512">
      <w:pPr>
        <w:spacing w:line="276" w:lineRule="auto"/>
        <w:ind w:left="851" w:hanging="851"/>
        <w:rPr>
          <w:rFonts w:ascii="Times New Roman" w:hAnsi="Times New Roman" w:cs="Times New Roman"/>
          <w:color w:val="000000" w:themeColor="text1"/>
          <w:sz w:val="24"/>
          <w:szCs w:val="24"/>
        </w:rPr>
      </w:pPr>
      <w:r w:rsidRPr="004035B8">
        <w:rPr>
          <w:rFonts w:ascii="Times New Roman" w:hAnsi="Times New Roman" w:cs="Times New Roman"/>
          <w:color w:val="000000" w:themeColor="text1"/>
          <w:sz w:val="24"/>
          <w:szCs w:val="24"/>
        </w:rPr>
        <w:t xml:space="preserve">Springer, L., </w:t>
      </w:r>
      <w:proofErr w:type="spellStart"/>
      <w:r w:rsidRPr="004035B8">
        <w:rPr>
          <w:rFonts w:ascii="Times New Roman" w:hAnsi="Times New Roman" w:cs="Times New Roman"/>
          <w:color w:val="000000" w:themeColor="text1"/>
          <w:sz w:val="24"/>
          <w:szCs w:val="24"/>
        </w:rPr>
        <w:t>Stanne</w:t>
      </w:r>
      <w:proofErr w:type="spellEnd"/>
      <w:r w:rsidRPr="004035B8">
        <w:rPr>
          <w:rFonts w:ascii="Times New Roman" w:hAnsi="Times New Roman" w:cs="Times New Roman"/>
          <w:color w:val="000000" w:themeColor="text1"/>
          <w:sz w:val="24"/>
          <w:szCs w:val="24"/>
        </w:rPr>
        <w:t xml:space="preserve">, M.E., Donovan, S.S. (1999). Effects of small-group learning on undergraduates in science, mathematics, engineering, and technology: A meta-analysis. </w:t>
      </w:r>
      <w:r w:rsidRPr="004035B8">
        <w:rPr>
          <w:rFonts w:ascii="Times New Roman" w:hAnsi="Times New Roman" w:cs="Times New Roman"/>
          <w:i/>
          <w:iCs/>
          <w:color w:val="000000" w:themeColor="text1"/>
          <w:sz w:val="24"/>
          <w:szCs w:val="24"/>
        </w:rPr>
        <w:t>Reviews of Educational Research</w:t>
      </w:r>
      <w:r w:rsidRPr="004035B8">
        <w:rPr>
          <w:rFonts w:ascii="Times New Roman" w:hAnsi="Times New Roman" w:cs="Times New Roman"/>
          <w:color w:val="000000" w:themeColor="text1"/>
          <w:sz w:val="24"/>
          <w:szCs w:val="24"/>
        </w:rPr>
        <w:t>, 69, 21-51.</w:t>
      </w:r>
    </w:p>
    <w:p w14:paraId="29EBAA88" w14:textId="77777777" w:rsidR="00511512" w:rsidRPr="004035B8" w:rsidRDefault="00511512" w:rsidP="00511512">
      <w:pPr>
        <w:spacing w:line="276" w:lineRule="auto"/>
        <w:ind w:left="720" w:hanging="720"/>
        <w:rPr>
          <w:rFonts w:ascii="Times New Roman" w:eastAsia="Candara" w:hAnsi="Times New Roman" w:cs="Times New Roman"/>
          <w:sz w:val="24"/>
          <w:szCs w:val="24"/>
        </w:rPr>
      </w:pPr>
      <w:r w:rsidRPr="004035B8">
        <w:rPr>
          <w:rFonts w:ascii="Times New Roman" w:eastAsia="Candara" w:hAnsi="Times New Roman" w:cs="Times New Roman"/>
          <w:sz w:val="24"/>
          <w:szCs w:val="24"/>
        </w:rPr>
        <w:t xml:space="preserve">Street, B. (1999). Academic literacies. Students writing in the university: Cultural and epistemological issues, 8, 193-227. </w:t>
      </w:r>
    </w:p>
    <w:p w14:paraId="50F9E112" w14:textId="77777777" w:rsidR="00511512" w:rsidRPr="004035B8" w:rsidRDefault="00511512" w:rsidP="00511512">
      <w:pPr>
        <w:spacing w:line="276" w:lineRule="auto"/>
        <w:ind w:left="851" w:hanging="851"/>
        <w:rPr>
          <w:rFonts w:ascii="Times New Roman" w:hAnsi="Times New Roman" w:cs="Times New Roman"/>
          <w:color w:val="000000" w:themeColor="text1"/>
          <w:sz w:val="24"/>
          <w:szCs w:val="24"/>
        </w:rPr>
      </w:pPr>
      <w:r w:rsidRPr="004035B8">
        <w:rPr>
          <w:rFonts w:ascii="Times New Roman" w:hAnsi="Times New Roman" w:cs="Times New Roman"/>
          <w:color w:val="000000" w:themeColor="text1"/>
          <w:sz w:val="24"/>
          <w:szCs w:val="24"/>
        </w:rPr>
        <w:t xml:space="preserve">Taylor, S. D. Veri, M. J., Eliason, M., </w:t>
      </w:r>
      <w:proofErr w:type="spellStart"/>
      <w:r w:rsidRPr="004035B8">
        <w:rPr>
          <w:rFonts w:ascii="Times New Roman" w:hAnsi="Times New Roman" w:cs="Times New Roman"/>
          <w:color w:val="000000" w:themeColor="text1"/>
          <w:sz w:val="24"/>
          <w:szCs w:val="24"/>
        </w:rPr>
        <w:t>Hermoso</w:t>
      </w:r>
      <w:proofErr w:type="spellEnd"/>
      <w:r w:rsidRPr="004035B8">
        <w:rPr>
          <w:rFonts w:ascii="Times New Roman" w:hAnsi="Times New Roman" w:cs="Times New Roman"/>
          <w:color w:val="000000" w:themeColor="text1"/>
          <w:sz w:val="24"/>
          <w:szCs w:val="24"/>
        </w:rPr>
        <w:t xml:space="preserve">, J. C. R., Bolter, N. D., &amp; Van </w:t>
      </w:r>
      <w:proofErr w:type="spellStart"/>
      <w:r w:rsidRPr="004035B8">
        <w:rPr>
          <w:rFonts w:ascii="Times New Roman" w:hAnsi="Times New Roman" w:cs="Times New Roman"/>
          <w:color w:val="000000" w:themeColor="text1"/>
          <w:sz w:val="24"/>
          <w:szCs w:val="24"/>
        </w:rPr>
        <w:t>Olphen</w:t>
      </w:r>
      <w:proofErr w:type="spellEnd"/>
      <w:r w:rsidRPr="004035B8">
        <w:rPr>
          <w:rFonts w:ascii="Times New Roman" w:hAnsi="Times New Roman" w:cs="Times New Roman"/>
          <w:color w:val="000000" w:themeColor="text1"/>
          <w:sz w:val="24"/>
          <w:szCs w:val="24"/>
        </w:rPr>
        <w:t xml:space="preserve">, J. E. (2019). The Social Justice Syllabus Design Tool: A First Step in Doing Social Justice Pedagogy. </w:t>
      </w:r>
      <w:r w:rsidRPr="004035B8">
        <w:rPr>
          <w:rFonts w:ascii="Times New Roman" w:hAnsi="Times New Roman" w:cs="Times New Roman"/>
          <w:i/>
          <w:color w:val="000000" w:themeColor="text1"/>
          <w:sz w:val="24"/>
          <w:szCs w:val="24"/>
        </w:rPr>
        <w:t>Journal Committed to Social Change on Race and Ethnicity 5</w:t>
      </w:r>
      <w:r w:rsidRPr="004035B8">
        <w:rPr>
          <w:rFonts w:ascii="Times New Roman" w:hAnsi="Times New Roman" w:cs="Times New Roman"/>
          <w:color w:val="000000" w:themeColor="text1"/>
          <w:sz w:val="24"/>
          <w:szCs w:val="24"/>
        </w:rPr>
        <w:t>(2). 133-163</w:t>
      </w:r>
    </w:p>
    <w:p w14:paraId="1D3C5C30" w14:textId="77777777" w:rsidR="00511512" w:rsidRPr="004035B8" w:rsidRDefault="00511512" w:rsidP="00511512">
      <w:pPr>
        <w:spacing w:line="276" w:lineRule="auto"/>
        <w:ind w:left="851" w:hanging="851"/>
        <w:rPr>
          <w:rFonts w:ascii="Times New Roman" w:hAnsi="Times New Roman" w:cs="Times New Roman"/>
          <w:color w:val="000000" w:themeColor="text1"/>
          <w:sz w:val="24"/>
          <w:szCs w:val="24"/>
        </w:rPr>
      </w:pPr>
      <w:r w:rsidRPr="004035B8">
        <w:rPr>
          <w:rFonts w:ascii="Times New Roman" w:hAnsi="Times New Roman" w:cs="Times New Roman"/>
          <w:color w:val="000000" w:themeColor="text1"/>
          <w:sz w:val="24"/>
          <w:szCs w:val="24"/>
        </w:rPr>
        <w:t xml:space="preserve">Theobald, E.J., Hill, M.J., Tran, E., ...Freeman, S. (2020). Active learning narrows achievement gaps for underrepresented students in undergraduate science, technology, engineering, and math. PNAS, 117(12), </w:t>
      </w:r>
      <w:hyperlink r:id="rId20">
        <w:r w:rsidRPr="004035B8">
          <w:rPr>
            <w:rStyle w:val="Hyperlink"/>
            <w:rFonts w:ascii="Times New Roman" w:hAnsi="Times New Roman" w:cs="Times New Roman"/>
            <w:sz w:val="24"/>
            <w:szCs w:val="24"/>
          </w:rPr>
          <w:t>www.pnas.org/cgi/doi/10.1073/pnas.1916903117</w:t>
        </w:r>
      </w:hyperlink>
      <w:r w:rsidRPr="004035B8">
        <w:rPr>
          <w:rFonts w:ascii="Times New Roman" w:hAnsi="Times New Roman" w:cs="Times New Roman"/>
          <w:color w:val="000000" w:themeColor="text1"/>
          <w:sz w:val="24"/>
          <w:szCs w:val="24"/>
        </w:rPr>
        <w:t xml:space="preserve">. </w:t>
      </w:r>
    </w:p>
    <w:p w14:paraId="2FA95F73" w14:textId="77777777" w:rsidR="00511512" w:rsidRPr="004035B8" w:rsidRDefault="00511512" w:rsidP="00511512">
      <w:pPr>
        <w:spacing w:line="276" w:lineRule="auto"/>
        <w:ind w:left="851" w:hanging="851"/>
        <w:rPr>
          <w:rFonts w:ascii="Times New Roman" w:hAnsi="Times New Roman" w:cs="Times New Roman"/>
          <w:color w:val="000000" w:themeColor="text1"/>
          <w:sz w:val="24"/>
          <w:szCs w:val="24"/>
        </w:rPr>
      </w:pPr>
      <w:r w:rsidRPr="004035B8">
        <w:rPr>
          <w:rFonts w:ascii="Times New Roman" w:hAnsi="Times New Roman" w:cs="Times New Roman"/>
          <w:color w:val="000000" w:themeColor="text1"/>
          <w:sz w:val="24"/>
          <w:szCs w:val="24"/>
        </w:rPr>
        <w:lastRenderedPageBreak/>
        <w:t xml:space="preserve">Virtanen, P., Niemi, H.M., and </w:t>
      </w:r>
      <w:proofErr w:type="spellStart"/>
      <w:r w:rsidRPr="004035B8">
        <w:rPr>
          <w:rFonts w:ascii="Times New Roman" w:hAnsi="Times New Roman" w:cs="Times New Roman"/>
          <w:color w:val="000000" w:themeColor="text1"/>
          <w:sz w:val="24"/>
          <w:szCs w:val="24"/>
        </w:rPr>
        <w:t>Nevgi</w:t>
      </w:r>
      <w:proofErr w:type="spellEnd"/>
      <w:r w:rsidRPr="004035B8">
        <w:rPr>
          <w:rFonts w:ascii="Times New Roman" w:hAnsi="Times New Roman" w:cs="Times New Roman"/>
          <w:color w:val="000000" w:themeColor="text1"/>
          <w:sz w:val="24"/>
          <w:szCs w:val="24"/>
        </w:rPr>
        <w:t xml:space="preserve">, A. (2017). Active learning and self-regulation enhance student teachers’ professional competencies. </w:t>
      </w:r>
      <w:r w:rsidRPr="004035B8">
        <w:rPr>
          <w:rFonts w:ascii="Times New Roman" w:hAnsi="Times New Roman" w:cs="Times New Roman"/>
          <w:i/>
          <w:iCs/>
          <w:color w:val="000000" w:themeColor="text1"/>
          <w:sz w:val="24"/>
          <w:szCs w:val="24"/>
        </w:rPr>
        <w:t>Australian Journal of Teacher Education</w:t>
      </w:r>
      <w:r w:rsidRPr="004035B8">
        <w:rPr>
          <w:rFonts w:ascii="Times New Roman" w:hAnsi="Times New Roman" w:cs="Times New Roman"/>
          <w:color w:val="000000" w:themeColor="text1"/>
          <w:sz w:val="24"/>
          <w:szCs w:val="24"/>
        </w:rPr>
        <w:t>, 42(12), Article 1.</w:t>
      </w:r>
    </w:p>
    <w:p w14:paraId="0FBF9998" w14:textId="77777777" w:rsidR="00511512" w:rsidRPr="004035B8" w:rsidRDefault="00511512" w:rsidP="00511512">
      <w:pPr>
        <w:spacing w:line="276" w:lineRule="auto"/>
        <w:ind w:left="720" w:hanging="720"/>
        <w:rPr>
          <w:rFonts w:ascii="Times New Roman" w:eastAsia="Candara" w:hAnsi="Times New Roman" w:cs="Times New Roman"/>
          <w:sz w:val="24"/>
          <w:szCs w:val="24"/>
        </w:rPr>
      </w:pPr>
      <w:r w:rsidRPr="004035B8">
        <w:rPr>
          <w:rFonts w:ascii="Times New Roman" w:eastAsia="Candara" w:hAnsi="Times New Roman" w:cs="Times New Roman"/>
          <w:sz w:val="24"/>
          <w:szCs w:val="24"/>
        </w:rPr>
        <w:t xml:space="preserve">Wingate, U. (2012) ‘Argument!’ helping students understand what essay writing is about. </w:t>
      </w:r>
      <w:r w:rsidRPr="004035B8">
        <w:rPr>
          <w:rFonts w:ascii="Times New Roman" w:eastAsia="Candara" w:hAnsi="Times New Roman" w:cs="Times New Roman"/>
          <w:i/>
          <w:iCs/>
          <w:sz w:val="24"/>
          <w:szCs w:val="24"/>
        </w:rPr>
        <w:t>Journal of English for Academic Purposes</w:t>
      </w:r>
      <w:r w:rsidRPr="004035B8">
        <w:rPr>
          <w:rFonts w:ascii="Times New Roman" w:eastAsia="Candara" w:hAnsi="Times New Roman" w:cs="Times New Roman"/>
          <w:sz w:val="24"/>
          <w:szCs w:val="24"/>
        </w:rPr>
        <w:t xml:space="preserve"> (11) 145-154</w:t>
      </w:r>
    </w:p>
    <w:p w14:paraId="44741564" w14:textId="77777777" w:rsidR="00511512" w:rsidRPr="004035B8" w:rsidRDefault="00511512" w:rsidP="00511512">
      <w:pPr>
        <w:spacing w:line="276" w:lineRule="auto"/>
        <w:ind w:left="851" w:hanging="851"/>
        <w:rPr>
          <w:rFonts w:ascii="Times New Roman" w:hAnsi="Times New Roman" w:cs="Times New Roman"/>
          <w:color w:val="000000" w:themeColor="text1"/>
          <w:sz w:val="24"/>
          <w:szCs w:val="24"/>
        </w:rPr>
      </w:pPr>
      <w:r w:rsidRPr="004035B8">
        <w:rPr>
          <w:rFonts w:ascii="Times New Roman" w:hAnsi="Times New Roman" w:cs="Times New Roman"/>
          <w:color w:val="000000" w:themeColor="text1"/>
          <w:sz w:val="24"/>
          <w:szCs w:val="24"/>
        </w:rPr>
        <w:t xml:space="preserve">Wolff, H. G., &amp; Moser, K. (2009). Effects of Networking on Career Success: A Longitudinal Study. </w:t>
      </w:r>
      <w:r w:rsidRPr="004035B8">
        <w:rPr>
          <w:rFonts w:ascii="Times New Roman" w:hAnsi="Times New Roman" w:cs="Times New Roman"/>
          <w:i/>
          <w:color w:val="000000" w:themeColor="text1"/>
          <w:sz w:val="24"/>
          <w:szCs w:val="24"/>
        </w:rPr>
        <w:t>Journal of Applied Psychology, 94</w:t>
      </w:r>
      <w:r w:rsidRPr="004035B8">
        <w:rPr>
          <w:rFonts w:ascii="Times New Roman" w:hAnsi="Times New Roman" w:cs="Times New Roman"/>
          <w:color w:val="000000" w:themeColor="text1"/>
          <w:sz w:val="24"/>
          <w:szCs w:val="24"/>
        </w:rPr>
        <w:t xml:space="preserve">(1), 196–206. </w:t>
      </w:r>
      <w:hyperlink r:id="rId21">
        <w:r w:rsidRPr="004035B8">
          <w:rPr>
            <w:rStyle w:val="Hyperlink"/>
            <w:rFonts w:ascii="Times New Roman" w:hAnsi="Times New Roman" w:cs="Times New Roman"/>
            <w:sz w:val="24"/>
            <w:szCs w:val="24"/>
          </w:rPr>
          <w:t>https://doi.org/10.1037/a0013350</w:t>
        </w:r>
      </w:hyperlink>
    </w:p>
    <w:p w14:paraId="34656782" w14:textId="77777777" w:rsidR="00511512" w:rsidRPr="004035B8" w:rsidRDefault="00511512" w:rsidP="00511512">
      <w:pPr>
        <w:spacing w:line="276" w:lineRule="auto"/>
        <w:ind w:left="851" w:hanging="851"/>
        <w:rPr>
          <w:rFonts w:ascii="Times New Roman" w:hAnsi="Times New Roman" w:cs="Times New Roman"/>
          <w:color w:val="000000" w:themeColor="text1"/>
          <w:sz w:val="24"/>
          <w:szCs w:val="24"/>
        </w:rPr>
      </w:pPr>
      <w:r w:rsidRPr="004035B8">
        <w:rPr>
          <w:rFonts w:ascii="Times New Roman" w:hAnsi="Times New Roman" w:cs="Times New Roman"/>
          <w:color w:val="000000" w:themeColor="text1"/>
          <w:sz w:val="24"/>
          <w:szCs w:val="24"/>
        </w:rPr>
        <w:t xml:space="preserve">Yun, J. H., </w:t>
      </w:r>
      <w:proofErr w:type="spellStart"/>
      <w:r w:rsidRPr="004035B8">
        <w:rPr>
          <w:rFonts w:ascii="Times New Roman" w:hAnsi="Times New Roman" w:cs="Times New Roman"/>
          <w:color w:val="000000" w:themeColor="text1"/>
          <w:sz w:val="24"/>
          <w:szCs w:val="24"/>
        </w:rPr>
        <w:t>Baldi</w:t>
      </w:r>
      <w:proofErr w:type="spellEnd"/>
      <w:r w:rsidRPr="004035B8">
        <w:rPr>
          <w:rFonts w:ascii="Times New Roman" w:hAnsi="Times New Roman" w:cs="Times New Roman"/>
          <w:color w:val="000000" w:themeColor="text1"/>
          <w:sz w:val="24"/>
          <w:szCs w:val="24"/>
        </w:rPr>
        <w:t xml:space="preserve">, B., &amp; </w:t>
      </w:r>
      <w:proofErr w:type="spellStart"/>
      <w:r w:rsidRPr="004035B8">
        <w:rPr>
          <w:rFonts w:ascii="Times New Roman" w:hAnsi="Times New Roman" w:cs="Times New Roman"/>
          <w:color w:val="000000" w:themeColor="text1"/>
          <w:sz w:val="24"/>
          <w:szCs w:val="24"/>
        </w:rPr>
        <w:t>Sorcinelli</w:t>
      </w:r>
      <w:proofErr w:type="spellEnd"/>
      <w:r w:rsidRPr="004035B8">
        <w:rPr>
          <w:rFonts w:ascii="Times New Roman" w:hAnsi="Times New Roman" w:cs="Times New Roman"/>
          <w:color w:val="000000" w:themeColor="text1"/>
          <w:sz w:val="24"/>
          <w:szCs w:val="24"/>
        </w:rPr>
        <w:t xml:space="preserve">, M. D. (2016). Mutual Mentoring for Early-Career and Underrepresented Faculty: Model, Research, and Practice. </w:t>
      </w:r>
      <w:r w:rsidRPr="004035B8">
        <w:rPr>
          <w:rFonts w:ascii="Times New Roman" w:hAnsi="Times New Roman" w:cs="Times New Roman"/>
          <w:i/>
          <w:iCs/>
          <w:color w:val="000000" w:themeColor="text1"/>
          <w:sz w:val="24"/>
          <w:szCs w:val="24"/>
        </w:rPr>
        <w:t>Innovative Higher Education, 41</w:t>
      </w:r>
      <w:r w:rsidRPr="004035B8">
        <w:rPr>
          <w:rFonts w:ascii="Times New Roman" w:hAnsi="Times New Roman" w:cs="Times New Roman"/>
          <w:color w:val="000000" w:themeColor="text1"/>
          <w:sz w:val="24"/>
          <w:szCs w:val="24"/>
        </w:rPr>
        <w:t xml:space="preserve">(5), 441–451. </w:t>
      </w:r>
      <w:hyperlink r:id="rId22" w:history="1">
        <w:r w:rsidRPr="004035B8">
          <w:rPr>
            <w:rStyle w:val="Hyperlink"/>
            <w:rFonts w:ascii="Times New Roman" w:hAnsi="Times New Roman" w:cs="Times New Roman"/>
            <w:sz w:val="24"/>
            <w:szCs w:val="24"/>
          </w:rPr>
          <w:t>https://doi.org/10.1007/s10755-016-9359-6</w:t>
        </w:r>
      </w:hyperlink>
    </w:p>
    <w:p w14:paraId="3140B953" w14:textId="77777777" w:rsidR="00511512" w:rsidRPr="00CE0D80" w:rsidRDefault="00511512" w:rsidP="00511512">
      <w:pPr>
        <w:spacing w:line="276" w:lineRule="auto"/>
        <w:rPr>
          <w:rFonts w:ascii="Times New Roman" w:hAnsi="Times New Roman" w:cs="Times New Roman"/>
          <w:sz w:val="24"/>
          <w:szCs w:val="24"/>
        </w:rPr>
      </w:pPr>
    </w:p>
    <w:p w14:paraId="1B12697D" w14:textId="77777777" w:rsidR="00511512" w:rsidRDefault="00511512" w:rsidP="00511512"/>
    <w:p w14:paraId="7F9F78A5" w14:textId="77777777" w:rsidR="00FC1C94" w:rsidRDefault="00FC1C94"/>
    <w:sectPr w:rsidR="00FC1C94">
      <w:headerReference w:type="default" r:id="rId23"/>
      <w:footerReference w:type="even"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C206C" w14:textId="77777777" w:rsidR="00C51499" w:rsidRDefault="00C51499" w:rsidP="00511512">
      <w:pPr>
        <w:spacing w:after="0" w:line="240" w:lineRule="auto"/>
      </w:pPr>
      <w:r>
        <w:separator/>
      </w:r>
    </w:p>
  </w:endnote>
  <w:endnote w:type="continuationSeparator" w:id="0">
    <w:p w14:paraId="06BC69A5" w14:textId="77777777" w:rsidR="00C51499" w:rsidRDefault="00C51499" w:rsidP="00511512">
      <w:pPr>
        <w:spacing w:after="0" w:line="240" w:lineRule="auto"/>
      </w:pPr>
      <w:r>
        <w:continuationSeparator/>
      </w:r>
    </w:p>
  </w:endnote>
  <w:endnote w:id="1">
    <w:p w14:paraId="0570F576" w14:textId="77777777" w:rsidR="00511512" w:rsidRPr="00063A72" w:rsidRDefault="00511512" w:rsidP="00511512">
      <w:pPr>
        <w:pStyle w:val="EndnoteText"/>
        <w:rPr>
          <w:rFonts w:cstheme="minorHAnsi"/>
        </w:rPr>
      </w:pPr>
      <w:r w:rsidRPr="00F614BC">
        <w:rPr>
          <w:rStyle w:val="EndnoteReference"/>
          <w:rFonts w:cstheme="minorHAnsi"/>
        </w:rPr>
        <w:endnoteRef/>
      </w:r>
      <w:r w:rsidRPr="00063A72">
        <w:rPr>
          <w:rFonts w:cstheme="minorHAnsi"/>
        </w:rPr>
        <w:t xml:space="preserve"> </w:t>
      </w:r>
      <w:r>
        <w:rPr>
          <w:rFonts w:cstheme="minorHAnsi"/>
        </w:rPr>
        <w:t xml:space="preserve">HEC </w:t>
      </w:r>
      <w:r w:rsidRPr="00063A72">
        <w:rPr>
          <w:rFonts w:cstheme="minorHAnsi"/>
          <w:color w:val="000000" w:themeColor="text1"/>
        </w:rPr>
        <w:t xml:space="preserve">Policy for the Interim Placement of Fresh PhDs – Phase II </w:t>
      </w:r>
      <w:hyperlink r:id="rId1" w:history="1">
        <w:r w:rsidRPr="00063A72">
          <w:rPr>
            <w:rStyle w:val="Hyperlink"/>
            <w:rFonts w:cstheme="minorHAnsi"/>
          </w:rPr>
          <w:t>http://www.mofept.gov.pk/SiteImage/Misc/files/HEC%20-%20POLICY%20FOR%20INTERIM%20PLACEMENT%20OF%20FRESH%20PHDs%20%20(IPFP).pdf</w:t>
        </w:r>
      </w:hyperlink>
    </w:p>
  </w:endnote>
  <w:endnote w:id="2">
    <w:p w14:paraId="598553FB" w14:textId="77777777" w:rsidR="00511512" w:rsidRPr="00273333" w:rsidRDefault="00511512" w:rsidP="00511512">
      <w:pPr>
        <w:pStyle w:val="EndnoteText"/>
        <w:rPr>
          <w:rFonts w:cstheme="minorHAnsi"/>
        </w:rPr>
      </w:pPr>
      <w:r w:rsidRPr="00273333">
        <w:rPr>
          <w:rStyle w:val="EndnoteReference"/>
          <w:rFonts w:cstheme="minorHAnsi"/>
        </w:rPr>
        <w:endnoteRef/>
      </w:r>
      <w:r w:rsidRPr="00273333">
        <w:rPr>
          <w:rFonts w:cstheme="minorHAnsi"/>
        </w:rPr>
        <w:t xml:space="preserve"> </w:t>
      </w:r>
      <w:hyperlink r:id="rId2" w:history="1">
        <w:r w:rsidRPr="00273333">
          <w:rPr>
            <w:rStyle w:val="Hyperlink"/>
            <w:rFonts w:cstheme="minorHAnsi"/>
          </w:rPr>
          <w:t>https://www.hec.gov.pk/english/services/faculty/NAHE/Pages/intro.aspx</w:t>
        </w:r>
      </w:hyperlink>
      <w:r w:rsidRPr="00273333">
        <w:rPr>
          <w:rFonts w:cstheme="minorHAnsi"/>
        </w:rPr>
        <w:t xml:space="preserve"> </w:t>
      </w:r>
    </w:p>
  </w:endnote>
  <w:endnote w:id="3">
    <w:p w14:paraId="6AF3B326" w14:textId="77777777" w:rsidR="00511512" w:rsidRPr="00273333" w:rsidRDefault="00511512" w:rsidP="00511512">
      <w:pPr>
        <w:pStyle w:val="EndnoteText"/>
        <w:rPr>
          <w:rFonts w:cstheme="minorHAnsi"/>
        </w:rPr>
      </w:pPr>
      <w:r w:rsidRPr="00273333">
        <w:rPr>
          <w:rStyle w:val="EndnoteReference"/>
          <w:rFonts w:cstheme="minorHAnsi"/>
        </w:rPr>
        <w:endnoteRef/>
      </w:r>
      <w:r w:rsidRPr="00273333">
        <w:rPr>
          <w:rFonts w:cstheme="minorHAnsi"/>
        </w:rPr>
        <w:t xml:space="preserve"> </w:t>
      </w:r>
      <w:hyperlink r:id="rId3" w:history="1">
        <w:r w:rsidRPr="00273333">
          <w:rPr>
            <w:rStyle w:val="Hyperlink"/>
            <w:rFonts w:cstheme="minorHAnsi"/>
          </w:rPr>
          <w:t>https://www.hec.gov.pk/english/services/faculty/NAHE/Documents/Online-Readiness-Certification-NFDP.pdf</w:t>
        </w:r>
      </w:hyperlink>
      <w:r w:rsidRPr="00273333">
        <w:rPr>
          <w:rFonts w:cstheme="minorHAnsi"/>
        </w:rPr>
        <w:t xml:space="preserve"> </w:t>
      </w:r>
    </w:p>
  </w:endnote>
  <w:endnote w:id="4">
    <w:p w14:paraId="222CB962" w14:textId="77777777" w:rsidR="00511512" w:rsidRDefault="00511512" w:rsidP="00511512">
      <w:pPr>
        <w:pStyle w:val="EndnoteText"/>
      </w:pPr>
      <w:r>
        <w:rPr>
          <w:rStyle w:val="EndnoteReference"/>
        </w:rPr>
        <w:endnoteRef/>
      </w:r>
      <w:r>
        <w:t xml:space="preserve"> </w:t>
      </w:r>
      <w:r w:rsidRPr="001C7D60">
        <w:t>"If a learner is at a stage '</w:t>
      </w:r>
      <w:proofErr w:type="spellStart"/>
      <w:r w:rsidRPr="001C7D60">
        <w:t>i</w:t>
      </w:r>
      <w:proofErr w:type="spellEnd"/>
      <w:r w:rsidRPr="001C7D60">
        <w:t>', then acquisition takes place when he/she is exposed to 'Comprehensible Input' that belongs to level '</w:t>
      </w:r>
      <w:proofErr w:type="spellStart"/>
      <w:r w:rsidRPr="001C7D60">
        <w:t>i</w:t>
      </w:r>
      <w:proofErr w:type="spellEnd"/>
      <w:r w:rsidRPr="001C7D60">
        <w:t xml:space="preserve"> + 1'. Since not all of the learners can be at the same level of linguistic competence at the same time, Krashen suggests that natural communicative input is the key to designing a syllabus, ensuring in this way that each learner will receive some '</w:t>
      </w:r>
      <w:proofErr w:type="spellStart"/>
      <w:r w:rsidRPr="001C7D60">
        <w:t>i</w:t>
      </w:r>
      <w:proofErr w:type="spellEnd"/>
      <w:r w:rsidRPr="001C7D60">
        <w:t xml:space="preserve"> + 1' input that is appropriate for his/her current stage of linguistic competence."</w:t>
      </w:r>
      <w:r>
        <w:t xml:space="preserve"> </w:t>
      </w:r>
      <w:hyperlink r:id="rId4" w:history="1">
        <w:r w:rsidRPr="000B5E6A">
          <w:rPr>
            <w:rStyle w:val="Hyperlink"/>
          </w:rPr>
          <w:t>https://www.sk.com.br/sk-krash-english.html</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39056607"/>
      <w:docPartObj>
        <w:docPartGallery w:val="Page Numbers (Bottom of Page)"/>
        <w:docPartUnique/>
      </w:docPartObj>
    </w:sdtPr>
    <w:sdtEndPr>
      <w:rPr>
        <w:rStyle w:val="PageNumber"/>
      </w:rPr>
    </w:sdtEndPr>
    <w:sdtContent>
      <w:p w14:paraId="28D0B2C1" w14:textId="77777777" w:rsidR="00A453AC" w:rsidRDefault="00C51499" w:rsidP="002A15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665AE5" w14:textId="77777777" w:rsidR="00A453AC" w:rsidRDefault="00C51499" w:rsidP="000503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53524205"/>
      <w:docPartObj>
        <w:docPartGallery w:val="Page Numbers (Bottom of Page)"/>
        <w:docPartUnique/>
      </w:docPartObj>
    </w:sdtPr>
    <w:sdtEndPr>
      <w:rPr>
        <w:rStyle w:val="PageNumber"/>
      </w:rPr>
    </w:sdtEndPr>
    <w:sdtContent>
      <w:p w14:paraId="77AB5C2C" w14:textId="77777777" w:rsidR="00A453AC" w:rsidRDefault="00C51499" w:rsidP="002A15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3FC0264" w14:textId="77777777" w:rsidR="00A453AC" w:rsidRDefault="00C51499" w:rsidP="000503C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6069C" w14:textId="77777777" w:rsidR="00C51499" w:rsidRDefault="00C51499" w:rsidP="00511512">
      <w:pPr>
        <w:spacing w:after="0" w:line="240" w:lineRule="auto"/>
      </w:pPr>
      <w:r>
        <w:separator/>
      </w:r>
    </w:p>
  </w:footnote>
  <w:footnote w:type="continuationSeparator" w:id="0">
    <w:p w14:paraId="19DD5763" w14:textId="77777777" w:rsidR="00C51499" w:rsidRDefault="00C51499" w:rsidP="00511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32AC9" w14:textId="1C4C2731" w:rsidR="00511512" w:rsidRPr="00B054A4" w:rsidRDefault="00511512" w:rsidP="00511512">
    <w:pPr>
      <w:pStyle w:val="Header"/>
      <w:jc w:val="center"/>
      <w:rPr>
        <w:rFonts w:ascii="Times New Roman" w:hAnsi="Times New Roman" w:cs="Times New Roman"/>
        <w:b/>
        <w:bCs/>
        <w:sz w:val="24"/>
        <w:szCs w:val="24"/>
      </w:rPr>
    </w:pPr>
    <w:r w:rsidRPr="00B054A4">
      <w:rPr>
        <w:rFonts w:ascii="Times New Roman" w:hAnsi="Times New Roman" w:cs="Times New Roman"/>
        <w:b/>
        <w:bCs/>
        <w:sz w:val="24"/>
        <w:szCs w:val="24"/>
      </w:rPr>
      <w:t>Manuscript # 0</w:t>
    </w:r>
    <w:r>
      <w:rPr>
        <w:rFonts w:ascii="Times New Roman" w:hAnsi="Times New Roman" w:cs="Times New Roman"/>
        <w:b/>
        <w:bCs/>
      </w:rPr>
      <w:t>6</w:t>
    </w:r>
  </w:p>
  <w:p w14:paraId="3AF01A57" w14:textId="2A4755AF" w:rsidR="00511512" w:rsidRDefault="00511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3B67A2"/>
    <w:multiLevelType w:val="multilevel"/>
    <w:tmpl w:val="9CD666E4"/>
    <w:lvl w:ilvl="0">
      <w:start w:val="1"/>
      <w:numFmt w:val="decimal"/>
      <w:pStyle w:val="Heading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5F1C7205"/>
    <w:multiLevelType w:val="multilevel"/>
    <w:tmpl w:val="B8541DCC"/>
    <w:lvl w:ilvl="0">
      <w:start w:val="1"/>
      <w:numFmt w:val="decimal"/>
      <w:lvlText w:val="%1."/>
      <w:lvlJc w:val="left"/>
      <w:pPr>
        <w:ind w:left="360" w:hanging="360"/>
      </w:pPr>
      <w:rPr>
        <w:rFonts w:hint="default"/>
      </w:rPr>
    </w:lvl>
    <w:lvl w:ilvl="1">
      <w:start w:val="1"/>
      <w:numFmt w:val="decimal"/>
      <w:pStyle w:val="Heading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512"/>
    <w:rsid w:val="00082A50"/>
    <w:rsid w:val="004306D8"/>
    <w:rsid w:val="00511512"/>
    <w:rsid w:val="00C51499"/>
    <w:rsid w:val="00FC1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A20FC"/>
  <w15:chartTrackingRefBased/>
  <w15:docId w15:val="{C997B7B0-2BCC-49D3-ACE5-6D85325E5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512"/>
  </w:style>
  <w:style w:type="paragraph" w:styleId="Heading1">
    <w:name w:val="heading 1"/>
    <w:basedOn w:val="Normal"/>
    <w:next w:val="Normal"/>
    <w:link w:val="Heading1Char"/>
    <w:autoRedefine/>
    <w:uiPriority w:val="9"/>
    <w:qFormat/>
    <w:rsid w:val="00511512"/>
    <w:pPr>
      <w:keepNext/>
      <w:keepLines/>
      <w:numPr>
        <w:numId w:val="2"/>
      </w:numPr>
      <w:spacing w:line="276" w:lineRule="auto"/>
      <w:outlineLvl w:val="0"/>
    </w:pPr>
    <w:rPr>
      <w:rFonts w:ascii="Times New Roman" w:eastAsia="Calibri" w:hAnsi="Times New Roman" w:cs="Times New Roman"/>
      <w:b/>
      <w:sz w:val="24"/>
      <w:szCs w:val="32"/>
    </w:rPr>
  </w:style>
  <w:style w:type="paragraph" w:styleId="Heading2">
    <w:name w:val="heading 2"/>
    <w:basedOn w:val="Normal"/>
    <w:next w:val="Normal"/>
    <w:link w:val="Heading2Char"/>
    <w:autoRedefine/>
    <w:uiPriority w:val="9"/>
    <w:unhideWhenUsed/>
    <w:qFormat/>
    <w:rsid w:val="00511512"/>
    <w:pPr>
      <w:keepNext/>
      <w:keepLines/>
      <w:numPr>
        <w:ilvl w:val="1"/>
        <w:numId w:val="1"/>
      </w:numPr>
      <w:spacing w:line="276" w:lineRule="auto"/>
      <w:outlineLvl w:val="1"/>
    </w:pPr>
    <w:rPr>
      <w:rFonts w:ascii="Times New Roman" w:eastAsiaTheme="minorEastAsia" w:hAnsi="Times New Roman" w:cs="Times New Roman"/>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512"/>
    <w:rPr>
      <w:rFonts w:ascii="Times New Roman" w:eastAsia="Calibri" w:hAnsi="Times New Roman" w:cs="Times New Roman"/>
      <w:b/>
      <w:sz w:val="24"/>
      <w:szCs w:val="32"/>
    </w:rPr>
  </w:style>
  <w:style w:type="character" w:customStyle="1" w:styleId="Heading2Char">
    <w:name w:val="Heading 2 Char"/>
    <w:basedOn w:val="DefaultParagraphFont"/>
    <w:link w:val="Heading2"/>
    <w:uiPriority w:val="9"/>
    <w:rsid w:val="00511512"/>
    <w:rPr>
      <w:rFonts w:ascii="Times New Roman" w:eastAsiaTheme="minorEastAsia" w:hAnsi="Times New Roman" w:cs="Times New Roman"/>
      <w:i/>
      <w:sz w:val="24"/>
      <w:szCs w:val="24"/>
    </w:rPr>
  </w:style>
  <w:style w:type="character" w:styleId="Hyperlink">
    <w:name w:val="Hyperlink"/>
    <w:basedOn w:val="DefaultParagraphFont"/>
    <w:uiPriority w:val="99"/>
    <w:unhideWhenUsed/>
    <w:rsid w:val="00511512"/>
    <w:rPr>
      <w:color w:val="0563C1" w:themeColor="hyperlink"/>
      <w:u w:val="single"/>
    </w:rPr>
  </w:style>
  <w:style w:type="character" w:styleId="CommentReference">
    <w:name w:val="annotation reference"/>
    <w:basedOn w:val="DefaultParagraphFont"/>
    <w:uiPriority w:val="99"/>
    <w:semiHidden/>
    <w:unhideWhenUsed/>
    <w:rsid w:val="00511512"/>
    <w:rPr>
      <w:sz w:val="16"/>
      <w:szCs w:val="16"/>
    </w:rPr>
  </w:style>
  <w:style w:type="paragraph" w:styleId="CommentText">
    <w:name w:val="annotation text"/>
    <w:basedOn w:val="Normal"/>
    <w:link w:val="CommentTextChar"/>
    <w:uiPriority w:val="99"/>
    <w:semiHidden/>
    <w:unhideWhenUsed/>
    <w:rsid w:val="00511512"/>
    <w:pPr>
      <w:spacing w:line="240" w:lineRule="auto"/>
    </w:pPr>
    <w:rPr>
      <w:sz w:val="20"/>
      <w:szCs w:val="20"/>
    </w:rPr>
  </w:style>
  <w:style w:type="character" w:customStyle="1" w:styleId="CommentTextChar">
    <w:name w:val="Comment Text Char"/>
    <w:basedOn w:val="DefaultParagraphFont"/>
    <w:link w:val="CommentText"/>
    <w:uiPriority w:val="99"/>
    <w:semiHidden/>
    <w:rsid w:val="00511512"/>
    <w:rPr>
      <w:sz w:val="20"/>
      <w:szCs w:val="20"/>
    </w:rPr>
  </w:style>
  <w:style w:type="paragraph" w:styleId="EndnoteText">
    <w:name w:val="endnote text"/>
    <w:basedOn w:val="Normal"/>
    <w:link w:val="EndnoteTextChar"/>
    <w:uiPriority w:val="99"/>
    <w:semiHidden/>
    <w:unhideWhenUsed/>
    <w:rsid w:val="0051151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1512"/>
    <w:rPr>
      <w:sz w:val="20"/>
      <w:szCs w:val="20"/>
    </w:rPr>
  </w:style>
  <w:style w:type="character" w:styleId="EndnoteReference">
    <w:name w:val="endnote reference"/>
    <w:basedOn w:val="DefaultParagraphFont"/>
    <w:uiPriority w:val="99"/>
    <w:semiHidden/>
    <w:unhideWhenUsed/>
    <w:rsid w:val="00511512"/>
    <w:rPr>
      <w:vertAlign w:val="superscript"/>
    </w:rPr>
  </w:style>
  <w:style w:type="paragraph" w:styleId="Footer">
    <w:name w:val="footer"/>
    <w:basedOn w:val="Normal"/>
    <w:link w:val="FooterChar"/>
    <w:uiPriority w:val="99"/>
    <w:unhideWhenUsed/>
    <w:rsid w:val="005115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512"/>
  </w:style>
  <w:style w:type="character" w:styleId="PageNumber">
    <w:name w:val="page number"/>
    <w:basedOn w:val="DefaultParagraphFont"/>
    <w:uiPriority w:val="99"/>
    <w:semiHidden/>
    <w:unhideWhenUsed/>
    <w:rsid w:val="00511512"/>
  </w:style>
  <w:style w:type="paragraph" w:styleId="Header">
    <w:name w:val="header"/>
    <w:basedOn w:val="Normal"/>
    <w:link w:val="HeaderChar"/>
    <w:uiPriority w:val="99"/>
    <w:unhideWhenUsed/>
    <w:rsid w:val="00511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s://doi.org/10.1080/87567555.2014.89677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37/a0013350"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1187/cbe.12-09-0163"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02/j.2168-9830.2004.tb00799.x" TargetMode="External"/><Relationship Id="rId20" Type="http://schemas.openxmlformats.org/officeDocument/2006/relationships/hyperlink" Target="http://www.pnas.org/cgi/doi/10.1073/pnas.19169031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16/j.pec.2014.06.013" TargetMode="External"/><Relationship Id="rId23" Type="http://schemas.openxmlformats.org/officeDocument/2006/relationships/header" Target="header1.xml"/><Relationship Id="rId10" Type="http://schemas.openxmlformats.org/officeDocument/2006/relationships/image" Target="media/image3.jpg"/><Relationship Id="rId19" Type="http://schemas.openxmlformats.org/officeDocument/2006/relationships/hyperlink" Target="https://doi.org/10.1353/csd.2004.006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yperlink" Target="https://doi.org/10.1007/s10755-016-9359-6" TargetMode="External"/><Relationship Id="rId27"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www.hec.gov.pk/english/services/faculty/NAHE/Documents/Online-Readiness-Certification-NFDP.pdf" TargetMode="External"/><Relationship Id="rId2" Type="http://schemas.openxmlformats.org/officeDocument/2006/relationships/hyperlink" Target="https://www.hec.gov.pk/english/services/faculty/NAHE/Pages/intro.aspx" TargetMode="External"/><Relationship Id="rId1" Type="http://schemas.openxmlformats.org/officeDocument/2006/relationships/hyperlink" Target="http://www.mofept.gov.pk/SiteImage/Misc/files/HEC%20-%20POLICY%20FOR%20INTERIM%20PLACEMENT%20OF%20FRESH%20PHDs%20%20(IPFP).pdf" TargetMode="External"/><Relationship Id="rId4" Type="http://schemas.openxmlformats.org/officeDocument/2006/relationships/hyperlink" Target="https://www.sk.com.br/sk-krash-englis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8C0C7-E2A7-4BEB-BA3B-B802C3083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8516</Words>
  <Characters>48544</Characters>
  <Application>Microsoft Office Word</Application>
  <DocSecurity>0</DocSecurity>
  <Lines>404</Lines>
  <Paragraphs>113</Paragraphs>
  <ScaleCrop>false</ScaleCrop>
  <Company/>
  <LinksUpToDate>false</LinksUpToDate>
  <CharactersWithSpaces>56947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Amna Akbar</dc:creator>
  <cp:keywords/>
  <dc:description/>
  <cp:lastModifiedBy>Amna Akbar</cp:lastModifiedBy>
  <cp:revision>1</cp:revision>
  <dcterms:created xsi:type="dcterms:W3CDTF">2022-03-04T06:53:00Z</dcterms:created>
  <dcterms:modified xsi:type="dcterms:W3CDTF">2022-03-04T06:54:00Z</dcterms:modified>
</cp:coreProperties>
</file>